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B67" w:rsidRDefault="00474B67">
      <w:pPr>
        <w:pStyle w:val="StyleFICHEBlancEncadrementTraitspleinsdoublesAutomati"/>
      </w:pPr>
      <w:r>
        <w:t xml:space="preserve">resume descriptif de la certification </w:t>
      </w:r>
    </w:p>
    <w:p w:rsidR="00474B67" w:rsidRDefault="00474B67">
      <w:pPr>
        <w:pStyle w:val="StyleFICHEBlancEncadrementTraitspleinsdoublesAutomati"/>
      </w:pPr>
      <w:r>
        <w:t>(fiche repertoire)</w:t>
      </w:r>
    </w:p>
    <w:p w:rsidR="00474B67" w:rsidRDefault="00474B67"/>
    <w:p w:rsidR="00474B67" w:rsidRDefault="00474B67"/>
    <w:tbl>
      <w:tblPr>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2093"/>
        <w:gridCol w:w="7796"/>
      </w:tblGrid>
      <w:tr w:rsidR="00474B67">
        <w:tc>
          <w:tcPr>
            <w:tcW w:w="2093" w:type="dxa"/>
            <w:tcBorders>
              <w:top w:val="single" w:sz="4" w:space="0" w:color="auto"/>
              <w:left w:val="single" w:sz="4" w:space="0" w:color="auto"/>
              <w:bottom w:val="single" w:sz="4" w:space="0" w:color="auto"/>
              <w:right w:val="single" w:sz="4" w:space="0" w:color="auto"/>
            </w:tcBorders>
            <w:shd w:val="clear" w:color="auto" w:fill="008C89"/>
          </w:tcPr>
          <w:p w:rsidR="00474B67" w:rsidRDefault="00474B67">
            <w:pPr>
              <w:rPr>
                <w:color w:val="FFFFFF"/>
                <w:sz w:val="24"/>
                <w:szCs w:val="24"/>
              </w:rPr>
            </w:pPr>
            <w:r>
              <w:rPr>
                <w:b/>
                <w:color w:val="FFFFFF"/>
                <w:sz w:val="24"/>
                <w:szCs w:val="24"/>
              </w:rPr>
              <w:t>Intitulé (cadre 1)</w:t>
            </w:r>
          </w:p>
        </w:tc>
        <w:tc>
          <w:tcPr>
            <w:tcW w:w="7796" w:type="dxa"/>
            <w:tcBorders>
              <w:top w:val="nil"/>
              <w:left w:val="single" w:sz="4" w:space="0" w:color="auto"/>
              <w:bottom w:val="single" w:sz="4" w:space="0" w:color="auto"/>
              <w:right w:val="nil"/>
            </w:tcBorders>
          </w:tcPr>
          <w:p w:rsidR="00474B67" w:rsidRDefault="00474B67">
            <w:pPr>
              <w:rPr>
                <w:sz w:val="24"/>
                <w:szCs w:val="24"/>
              </w:rPr>
            </w:pPr>
          </w:p>
        </w:tc>
      </w:tr>
      <w:tr w:rsidR="00474B67" w:rsidRPr="005A4208">
        <w:tc>
          <w:tcPr>
            <w:tcW w:w="9889" w:type="dxa"/>
            <w:gridSpan w:val="2"/>
            <w:tcBorders>
              <w:top w:val="single" w:sz="4" w:space="0" w:color="auto"/>
              <w:bottom w:val="single" w:sz="4" w:space="0" w:color="auto"/>
            </w:tcBorders>
          </w:tcPr>
          <w:p w:rsidR="00474B67" w:rsidRPr="005A4208" w:rsidRDefault="00474B67">
            <w:pPr>
              <w:rPr>
                <w:b/>
                <w:bCs/>
                <w:sz w:val="22"/>
                <w:szCs w:val="24"/>
              </w:rPr>
            </w:pPr>
            <w:r w:rsidRPr="005A4208">
              <w:rPr>
                <w:b/>
                <w:bCs/>
                <w:sz w:val="22"/>
                <w:szCs w:val="24"/>
              </w:rPr>
              <w:t xml:space="preserve">MASTER Arts Lettres Langues </w:t>
            </w:r>
            <w:r w:rsidR="005A4208" w:rsidRPr="005A4208">
              <w:rPr>
                <w:b/>
                <w:bCs/>
                <w:sz w:val="22"/>
                <w:szCs w:val="24"/>
              </w:rPr>
              <w:t>à finalité Recherche</w:t>
            </w:r>
          </w:p>
          <w:p w:rsidR="00474B67" w:rsidRPr="005A4208" w:rsidRDefault="00474B67">
            <w:pPr>
              <w:rPr>
                <w:b/>
                <w:bCs/>
                <w:sz w:val="22"/>
                <w:szCs w:val="24"/>
              </w:rPr>
            </w:pPr>
            <w:r w:rsidRPr="005A4208">
              <w:rPr>
                <w:b/>
                <w:bCs/>
                <w:sz w:val="22"/>
                <w:szCs w:val="24"/>
              </w:rPr>
              <w:t xml:space="preserve">Mention Langues, Littératures et Civilisations étrangères et régionales </w:t>
            </w:r>
          </w:p>
          <w:p w:rsidR="00474B67" w:rsidRPr="005A4208" w:rsidRDefault="00474B67" w:rsidP="005A4208">
            <w:pPr>
              <w:rPr>
                <w:b/>
                <w:bCs/>
                <w:sz w:val="22"/>
                <w:szCs w:val="24"/>
              </w:rPr>
            </w:pPr>
            <w:r w:rsidRPr="005A4208">
              <w:rPr>
                <w:b/>
                <w:bCs/>
                <w:i/>
                <w:iCs/>
                <w:sz w:val="22"/>
                <w:szCs w:val="24"/>
              </w:rPr>
              <w:t>Spécialité</w:t>
            </w:r>
            <w:r w:rsidR="00256F2D" w:rsidRPr="005A4208">
              <w:rPr>
                <w:b/>
                <w:bCs/>
                <w:sz w:val="22"/>
                <w:szCs w:val="24"/>
              </w:rPr>
              <w:t xml:space="preserve">  </w:t>
            </w:r>
            <w:r w:rsidR="005A4208" w:rsidRPr="005A4208">
              <w:rPr>
                <w:b/>
                <w:bCs/>
                <w:sz w:val="22"/>
                <w:szCs w:val="24"/>
              </w:rPr>
              <w:t>Etudes lusophones</w:t>
            </w:r>
          </w:p>
        </w:tc>
      </w:tr>
    </w:tbl>
    <w:p w:rsidR="00474B67" w:rsidRDefault="00474B67">
      <w:pPr>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1"/>
        <w:gridCol w:w="4678"/>
      </w:tblGrid>
      <w:tr w:rsidR="00256F2D" w:rsidTr="00474B67">
        <w:tc>
          <w:tcPr>
            <w:tcW w:w="5211" w:type="dxa"/>
            <w:tcBorders>
              <w:bottom w:val="single" w:sz="4" w:space="0" w:color="auto"/>
            </w:tcBorders>
            <w:shd w:val="clear" w:color="auto" w:fill="008C89"/>
          </w:tcPr>
          <w:p w:rsidR="00256F2D" w:rsidRDefault="00256F2D" w:rsidP="00474B67">
            <w:pPr>
              <w:rPr>
                <w:b/>
                <w:color w:val="FFFFFF"/>
                <w:sz w:val="24"/>
              </w:rPr>
            </w:pPr>
            <w:r>
              <w:rPr>
                <w:b/>
                <w:color w:val="FFFFFF"/>
                <w:sz w:val="24"/>
              </w:rPr>
              <w:t xml:space="preserve">Autorité responsable de la certification </w:t>
            </w:r>
          </w:p>
          <w:p w:rsidR="00256F2D" w:rsidRDefault="00256F2D" w:rsidP="00474B67">
            <w:pPr>
              <w:rPr>
                <w:color w:val="FFFFFF"/>
                <w:sz w:val="24"/>
              </w:rPr>
            </w:pPr>
            <w:r>
              <w:rPr>
                <w:b/>
                <w:color w:val="FFFFFF"/>
                <w:sz w:val="24"/>
              </w:rPr>
              <w:t>(cadre 2)</w:t>
            </w:r>
          </w:p>
        </w:tc>
        <w:tc>
          <w:tcPr>
            <w:tcW w:w="4678" w:type="dxa"/>
            <w:tcBorders>
              <w:bottom w:val="single" w:sz="4" w:space="0" w:color="auto"/>
            </w:tcBorders>
            <w:shd w:val="clear" w:color="auto" w:fill="008C89"/>
          </w:tcPr>
          <w:p w:rsidR="00256F2D" w:rsidRDefault="00256F2D" w:rsidP="00474B67">
            <w:pPr>
              <w:rPr>
                <w:b/>
                <w:color w:val="FFFFFF"/>
                <w:sz w:val="24"/>
              </w:rPr>
            </w:pPr>
            <w:r>
              <w:rPr>
                <w:b/>
                <w:color w:val="FFFFFF"/>
                <w:sz w:val="24"/>
              </w:rPr>
              <w:t>Qualité du(es) signataire(s) de la certification (cadre 3)</w:t>
            </w:r>
          </w:p>
        </w:tc>
      </w:tr>
      <w:tr w:rsidR="00256F2D" w:rsidTr="00474B67">
        <w:trPr>
          <w:trHeight w:val="245"/>
        </w:trPr>
        <w:tc>
          <w:tcPr>
            <w:tcW w:w="5211" w:type="dxa"/>
            <w:tcBorders>
              <w:right w:val="single" w:sz="4" w:space="0" w:color="auto"/>
            </w:tcBorders>
          </w:tcPr>
          <w:p w:rsidR="00256F2D" w:rsidRDefault="00256F2D" w:rsidP="00474B67">
            <w:r>
              <w:t>Le Ministère de l’Enseignement Supérieur et de la Recherche</w:t>
            </w:r>
          </w:p>
          <w:p w:rsidR="00256F2D" w:rsidRDefault="00256F2D" w:rsidP="00474B67">
            <w:r>
              <w:t>Université Montpellier 3</w:t>
            </w:r>
          </w:p>
          <w:p w:rsidR="00256F2D" w:rsidRDefault="00256F2D" w:rsidP="008F0F5B">
            <w:pPr>
              <w:rPr>
                <w:sz w:val="24"/>
              </w:rPr>
            </w:pPr>
          </w:p>
        </w:tc>
        <w:tc>
          <w:tcPr>
            <w:tcW w:w="4678" w:type="dxa"/>
            <w:tcBorders>
              <w:left w:val="single" w:sz="4" w:space="0" w:color="auto"/>
            </w:tcBorders>
          </w:tcPr>
          <w:p w:rsidR="00256F2D" w:rsidRDefault="00256F2D" w:rsidP="00474B67">
            <w:pPr>
              <w:tabs>
                <w:tab w:val="right" w:pos="9639"/>
              </w:tabs>
            </w:pPr>
            <w:r>
              <w:t xml:space="preserve">Le Recteur, chancelier des Universités </w:t>
            </w:r>
          </w:p>
          <w:p w:rsidR="00256F2D" w:rsidRDefault="00256F2D" w:rsidP="008F0F5B">
            <w:pPr>
              <w:tabs>
                <w:tab w:val="right" w:pos="9639"/>
              </w:tabs>
            </w:pPr>
            <w:r>
              <w:t xml:space="preserve">La Présidente de l’Université Montpellier 3 </w:t>
            </w:r>
          </w:p>
        </w:tc>
      </w:tr>
    </w:tbl>
    <w:p w:rsidR="00474B67" w:rsidRDefault="00474B67">
      <w:pPr>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8"/>
        <w:gridCol w:w="4961"/>
      </w:tblGrid>
      <w:tr w:rsidR="00474B67">
        <w:trPr>
          <w:cantSplit/>
        </w:trPr>
        <w:tc>
          <w:tcPr>
            <w:tcW w:w="4928" w:type="dxa"/>
            <w:tcBorders>
              <w:top w:val="single" w:sz="4" w:space="0" w:color="auto"/>
              <w:left w:val="single" w:sz="4" w:space="0" w:color="auto"/>
              <w:bottom w:val="single" w:sz="4" w:space="0" w:color="auto"/>
              <w:right w:val="single" w:sz="4" w:space="0" w:color="auto"/>
            </w:tcBorders>
            <w:shd w:val="clear" w:color="auto" w:fill="008C89"/>
          </w:tcPr>
          <w:p w:rsidR="00474B67" w:rsidRDefault="00474B67">
            <w:pPr>
              <w:rPr>
                <w:b/>
                <w:color w:val="FFFFFF"/>
                <w:sz w:val="24"/>
                <w:szCs w:val="24"/>
              </w:rPr>
            </w:pPr>
            <w:r>
              <w:rPr>
                <w:b/>
                <w:color w:val="FFFFFF"/>
                <w:sz w:val="24"/>
                <w:szCs w:val="24"/>
              </w:rPr>
              <w:t>Niveau et/ou domaine d’activité  (cadre 4)</w:t>
            </w:r>
          </w:p>
        </w:tc>
        <w:tc>
          <w:tcPr>
            <w:tcW w:w="4961" w:type="dxa"/>
            <w:tcBorders>
              <w:top w:val="nil"/>
              <w:left w:val="single" w:sz="4" w:space="0" w:color="auto"/>
              <w:bottom w:val="single" w:sz="4" w:space="0" w:color="auto"/>
              <w:right w:val="nil"/>
            </w:tcBorders>
          </w:tcPr>
          <w:p w:rsidR="00474B67" w:rsidRDefault="00474B67">
            <w:pPr>
              <w:rPr>
                <w:b/>
                <w:sz w:val="24"/>
                <w:szCs w:val="24"/>
              </w:rPr>
            </w:pPr>
          </w:p>
        </w:tc>
      </w:tr>
      <w:tr w:rsidR="00474B67">
        <w:trPr>
          <w:cantSplit/>
        </w:trPr>
        <w:tc>
          <w:tcPr>
            <w:tcW w:w="9889" w:type="dxa"/>
            <w:gridSpan w:val="2"/>
            <w:tcBorders>
              <w:top w:val="single" w:sz="4" w:space="0" w:color="auto"/>
            </w:tcBorders>
          </w:tcPr>
          <w:p w:rsidR="00474B67" w:rsidRDefault="00474B67">
            <w:pPr>
              <w:rPr>
                <w:sz w:val="24"/>
                <w:szCs w:val="24"/>
              </w:rPr>
            </w:pPr>
            <w:r>
              <w:rPr>
                <w:sz w:val="24"/>
                <w:szCs w:val="24"/>
              </w:rPr>
              <w:t>Niveau : I</w:t>
            </w:r>
          </w:p>
        </w:tc>
      </w:tr>
      <w:tr w:rsidR="00474B67">
        <w:trPr>
          <w:cantSplit/>
        </w:trPr>
        <w:tc>
          <w:tcPr>
            <w:tcW w:w="9889" w:type="dxa"/>
            <w:gridSpan w:val="2"/>
          </w:tcPr>
          <w:p w:rsidR="00474B67" w:rsidRDefault="00474B67">
            <w:pPr>
              <w:rPr>
                <w:bCs/>
                <w:sz w:val="24"/>
                <w:szCs w:val="24"/>
              </w:rPr>
            </w:pPr>
            <w:r>
              <w:rPr>
                <w:sz w:val="24"/>
                <w:szCs w:val="24"/>
              </w:rPr>
              <w:t>Code NSF : 136</w:t>
            </w:r>
            <w:r>
              <w:rPr>
                <w:b/>
                <w:sz w:val="24"/>
                <w:szCs w:val="24"/>
              </w:rPr>
              <w:tab/>
            </w:r>
          </w:p>
        </w:tc>
      </w:tr>
    </w:tbl>
    <w:p w:rsidR="00474B67" w:rsidRDefault="00474B67">
      <w:pPr>
        <w:rPr>
          <w:sz w:val="24"/>
          <w:szCs w:val="24"/>
        </w:rPr>
      </w:pPr>
    </w:p>
    <w:tbl>
      <w:tblPr>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8188"/>
        <w:gridCol w:w="1701"/>
      </w:tblGrid>
      <w:tr w:rsidR="00474B67" w:rsidTr="005A4208">
        <w:trPr>
          <w:trHeight w:val="375"/>
        </w:trPr>
        <w:tc>
          <w:tcPr>
            <w:tcW w:w="8188" w:type="dxa"/>
            <w:tcBorders>
              <w:top w:val="single" w:sz="4" w:space="0" w:color="auto"/>
              <w:left w:val="single" w:sz="4" w:space="0" w:color="auto"/>
              <w:bottom w:val="single" w:sz="4" w:space="0" w:color="auto"/>
              <w:right w:val="nil"/>
            </w:tcBorders>
            <w:shd w:val="clear" w:color="auto" w:fill="008C89"/>
          </w:tcPr>
          <w:p w:rsidR="00474B67" w:rsidRDefault="00474B67">
            <w:pPr>
              <w:rPr>
                <w:b/>
                <w:bCs/>
                <w:color w:val="FFFFFF"/>
                <w:sz w:val="24"/>
                <w:szCs w:val="24"/>
              </w:rPr>
            </w:pPr>
            <w:r>
              <w:rPr>
                <w:b/>
                <w:bCs/>
                <w:color w:val="FFFFFF"/>
                <w:sz w:val="24"/>
                <w:szCs w:val="24"/>
              </w:rPr>
              <w:t>Résumé du référentiel d’emploi ou éléments de compétences acquis (cadre 5)</w:t>
            </w:r>
          </w:p>
        </w:tc>
        <w:tc>
          <w:tcPr>
            <w:tcW w:w="1701" w:type="dxa"/>
            <w:tcBorders>
              <w:top w:val="nil"/>
              <w:left w:val="nil"/>
              <w:bottom w:val="single" w:sz="4" w:space="0" w:color="auto"/>
              <w:right w:val="nil"/>
            </w:tcBorders>
          </w:tcPr>
          <w:p w:rsidR="00474B67" w:rsidRDefault="00474B67">
            <w:pPr>
              <w:rPr>
                <w:sz w:val="24"/>
                <w:szCs w:val="24"/>
              </w:rPr>
            </w:pPr>
          </w:p>
        </w:tc>
      </w:tr>
      <w:tr w:rsidR="00474B67" w:rsidTr="005A4208">
        <w:tc>
          <w:tcPr>
            <w:tcW w:w="9889" w:type="dxa"/>
            <w:gridSpan w:val="2"/>
            <w:tcBorders>
              <w:top w:val="single" w:sz="4" w:space="0" w:color="auto"/>
              <w:bottom w:val="single" w:sz="4" w:space="0" w:color="auto"/>
            </w:tcBorders>
          </w:tcPr>
          <w:p w:rsidR="00474B67" w:rsidRDefault="00474B67">
            <w:pPr>
              <w:jc w:val="both"/>
              <w:rPr>
                <w:color w:val="000000"/>
                <w:sz w:val="22"/>
                <w:szCs w:val="24"/>
              </w:rPr>
            </w:pPr>
            <w:r>
              <w:rPr>
                <w:color w:val="000000"/>
                <w:sz w:val="22"/>
                <w:szCs w:val="24"/>
                <w:u w:val="single"/>
              </w:rPr>
              <w:t>Liste des activités visées par le diplôme, le titre ou le certificat</w:t>
            </w:r>
            <w:r>
              <w:rPr>
                <w:color w:val="000000"/>
                <w:sz w:val="22"/>
                <w:szCs w:val="24"/>
              </w:rPr>
              <w:t> :</w:t>
            </w:r>
          </w:p>
          <w:p w:rsidR="00474B67" w:rsidRDefault="00474B67">
            <w:pPr>
              <w:jc w:val="both"/>
            </w:pPr>
            <w:r>
              <w:t>Le titulaire de ce diplôme peut exercer les fonctions suivantes, dans les domaines de la recherche, de l’enseignement, mais aussi au sein de l’entreprise ou des collectivités territoriales, à un niveau de responsabilité élevé :</w:t>
            </w:r>
          </w:p>
          <w:p w:rsidR="00474B67" w:rsidRDefault="00474B67">
            <w:pPr>
              <w:numPr>
                <w:ilvl w:val="0"/>
                <w:numId w:val="2"/>
              </w:numPr>
              <w:jc w:val="both"/>
            </w:pPr>
            <w:r>
              <w:t>il conçoit des bibliographies théoriques et pratiques sur des points précis à partir d’outils adaptés (notamment informatiques),</w:t>
            </w:r>
          </w:p>
          <w:p w:rsidR="00474B67" w:rsidRDefault="00474B67">
            <w:pPr>
              <w:numPr>
                <w:ilvl w:val="0"/>
                <w:numId w:val="2"/>
              </w:numPr>
              <w:jc w:val="both"/>
            </w:pPr>
            <w:r>
              <w:t>il établit des notes de synthèse sur des questions variées, à partir de documents de nature et de type divers,</w:t>
            </w:r>
          </w:p>
          <w:p w:rsidR="00474B67" w:rsidRDefault="00474B67">
            <w:pPr>
              <w:numPr>
                <w:ilvl w:val="0"/>
                <w:numId w:val="2"/>
              </w:numPr>
              <w:jc w:val="both"/>
            </w:pPr>
            <w:r>
              <w:t xml:space="preserve">il conçoit et produit des textes de qualité en français et </w:t>
            </w:r>
            <w:r w:rsidR="009B67DD">
              <w:t>en portugais</w:t>
            </w:r>
            <w:r>
              <w:t>, sous forme de rédaction ou de traduction, et en assure la diffusion,</w:t>
            </w:r>
          </w:p>
          <w:p w:rsidR="00474B67" w:rsidRDefault="00474B67">
            <w:pPr>
              <w:numPr>
                <w:ilvl w:val="0"/>
                <w:numId w:val="2"/>
              </w:numPr>
              <w:jc w:val="both"/>
            </w:pPr>
            <w:r>
              <w:t xml:space="preserve">il conçoit les stratégies permettant la mise en œuvre de transferts culturels selon des savoirs et savoir faire inhérents aux </w:t>
            </w:r>
            <w:r w:rsidR="009B67DD">
              <w:t>études portugaises</w:t>
            </w:r>
            <w:r>
              <w:t>.</w:t>
            </w:r>
          </w:p>
          <w:p w:rsidR="00474B67" w:rsidRDefault="00474B67">
            <w:pPr>
              <w:jc w:val="both"/>
            </w:pPr>
            <w:r>
              <w:t xml:space="preserve">Les situations ou contextes professionnels les plus caractéristiques concernent l’enseignement, la recherche, la traduction, mais aussi la politique culturelle et éditoriale. </w:t>
            </w:r>
          </w:p>
          <w:p w:rsidR="00474B67" w:rsidRDefault="00474B67">
            <w:pPr>
              <w:jc w:val="both"/>
              <w:rPr>
                <w:b/>
                <w:sz w:val="24"/>
                <w:szCs w:val="24"/>
              </w:rPr>
            </w:pPr>
          </w:p>
        </w:tc>
      </w:tr>
      <w:tr w:rsidR="00474B67" w:rsidTr="005A4208">
        <w:tc>
          <w:tcPr>
            <w:tcW w:w="9889" w:type="dxa"/>
            <w:gridSpan w:val="2"/>
            <w:tcBorders>
              <w:top w:val="single" w:sz="4" w:space="0" w:color="auto"/>
              <w:bottom w:val="single" w:sz="4" w:space="0" w:color="auto"/>
            </w:tcBorders>
          </w:tcPr>
          <w:p w:rsidR="00474B67" w:rsidRDefault="00474B67">
            <w:pPr>
              <w:jc w:val="both"/>
              <w:rPr>
                <w:sz w:val="22"/>
                <w:szCs w:val="24"/>
              </w:rPr>
            </w:pPr>
            <w:r>
              <w:rPr>
                <w:sz w:val="22"/>
                <w:szCs w:val="24"/>
                <w:u w:val="single"/>
              </w:rPr>
              <w:t>Compétences ou capacités attestées</w:t>
            </w:r>
            <w:r>
              <w:rPr>
                <w:sz w:val="22"/>
                <w:szCs w:val="24"/>
              </w:rPr>
              <w:t> :</w:t>
            </w:r>
          </w:p>
          <w:p w:rsidR="00474B67" w:rsidRDefault="00474B67">
            <w:pPr>
              <w:jc w:val="both"/>
              <w:rPr>
                <w:szCs w:val="24"/>
              </w:rPr>
            </w:pPr>
            <w:r w:rsidRPr="009B67DD">
              <w:rPr>
                <w:szCs w:val="24"/>
              </w:rPr>
              <w:t xml:space="preserve">Compétences transversales: </w:t>
            </w:r>
          </w:p>
          <w:p w:rsidR="00474B67" w:rsidRDefault="00474B67">
            <w:pPr>
              <w:numPr>
                <w:ilvl w:val="0"/>
                <w:numId w:val="2"/>
              </w:numPr>
              <w:jc w:val="both"/>
              <w:rPr>
                <w:szCs w:val="24"/>
              </w:rPr>
            </w:pPr>
            <w:r>
              <w:rPr>
                <w:szCs w:val="24"/>
              </w:rPr>
              <w:t>maîtriser la langue et de la culture françaises,</w:t>
            </w:r>
          </w:p>
          <w:p w:rsidR="00474B67" w:rsidRDefault="00474B67">
            <w:pPr>
              <w:numPr>
                <w:ilvl w:val="0"/>
                <w:numId w:val="2"/>
              </w:numPr>
              <w:jc w:val="both"/>
              <w:rPr>
                <w:szCs w:val="24"/>
              </w:rPr>
            </w:pPr>
            <w:r>
              <w:rPr>
                <w:szCs w:val="24"/>
              </w:rPr>
              <w:t>disposer d’une solide culture générale,</w:t>
            </w:r>
          </w:p>
          <w:p w:rsidR="00474B67" w:rsidRDefault="00474B67">
            <w:pPr>
              <w:numPr>
                <w:ilvl w:val="0"/>
                <w:numId w:val="2"/>
              </w:numPr>
              <w:jc w:val="both"/>
              <w:rPr>
                <w:szCs w:val="24"/>
              </w:rPr>
            </w:pPr>
            <w:r>
              <w:rPr>
                <w:szCs w:val="24"/>
              </w:rPr>
              <w:t>maîtriser la langue</w:t>
            </w:r>
            <w:r w:rsidR="009B67DD">
              <w:rPr>
                <w:szCs w:val="24"/>
              </w:rPr>
              <w:t xml:space="preserve"> portugaise</w:t>
            </w:r>
            <w:r>
              <w:rPr>
                <w:szCs w:val="24"/>
              </w:rPr>
              <w:t xml:space="preserve"> et la culture des pays </w:t>
            </w:r>
            <w:r w:rsidR="009B67DD">
              <w:rPr>
                <w:szCs w:val="24"/>
              </w:rPr>
              <w:t>lusophones</w:t>
            </w:r>
            <w:r>
              <w:rPr>
                <w:szCs w:val="24"/>
              </w:rPr>
              <w:t>,</w:t>
            </w:r>
          </w:p>
          <w:p w:rsidR="00474B67" w:rsidRDefault="00474B67">
            <w:pPr>
              <w:numPr>
                <w:ilvl w:val="0"/>
                <w:numId w:val="2"/>
              </w:numPr>
              <w:jc w:val="both"/>
              <w:rPr>
                <w:szCs w:val="24"/>
              </w:rPr>
            </w:pPr>
            <w:r>
              <w:rPr>
                <w:szCs w:val="24"/>
              </w:rPr>
              <w:t xml:space="preserve">communiquer efficacement à l’écrit et à l’oral en </w:t>
            </w:r>
            <w:r w:rsidR="009B67DD">
              <w:rPr>
                <w:szCs w:val="24"/>
              </w:rPr>
              <w:t>français et en anglais</w:t>
            </w:r>
            <w:r>
              <w:rPr>
                <w:szCs w:val="24"/>
              </w:rPr>
              <w:t>,</w:t>
            </w:r>
          </w:p>
          <w:p w:rsidR="00474B67" w:rsidRDefault="00474B67">
            <w:pPr>
              <w:numPr>
                <w:ilvl w:val="0"/>
                <w:numId w:val="2"/>
              </w:numPr>
              <w:jc w:val="both"/>
              <w:rPr>
                <w:szCs w:val="24"/>
              </w:rPr>
            </w:pPr>
            <w:r>
              <w:rPr>
                <w:szCs w:val="24"/>
              </w:rPr>
              <w:t>traduire des supports de nature variée,</w:t>
            </w:r>
          </w:p>
          <w:p w:rsidR="00474B67" w:rsidRDefault="00474B67">
            <w:pPr>
              <w:numPr>
                <w:ilvl w:val="0"/>
                <w:numId w:val="2"/>
              </w:numPr>
              <w:jc w:val="both"/>
              <w:rPr>
                <w:szCs w:val="24"/>
              </w:rPr>
            </w:pPr>
            <w:r>
              <w:rPr>
                <w:szCs w:val="24"/>
              </w:rPr>
              <w:t xml:space="preserve">disposer de bases méthodologiques et théoriques solides permettant une intelligence et une maîtrise de problématiques originales dans le domaine </w:t>
            </w:r>
            <w:r w:rsidR="009B67DD">
              <w:rPr>
                <w:szCs w:val="24"/>
              </w:rPr>
              <w:t>des études anglophones</w:t>
            </w:r>
            <w:r>
              <w:rPr>
                <w:szCs w:val="24"/>
              </w:rPr>
              <w:t xml:space="preserve"> et dans chacune de ses composantes disciplinaires,</w:t>
            </w:r>
          </w:p>
          <w:p w:rsidR="00474B67" w:rsidRDefault="00474B67">
            <w:pPr>
              <w:numPr>
                <w:ilvl w:val="0"/>
                <w:numId w:val="2"/>
              </w:numPr>
              <w:jc w:val="both"/>
              <w:rPr>
                <w:szCs w:val="24"/>
              </w:rPr>
            </w:pPr>
            <w:r>
              <w:rPr>
                <w:szCs w:val="24"/>
              </w:rPr>
              <w:t>maîtriser les TIC et notamment les outils de recherche bibliographique permettant une veille scientifique autonome.</w:t>
            </w:r>
          </w:p>
          <w:p w:rsidR="00474B67" w:rsidRDefault="00474B67">
            <w:pPr>
              <w:jc w:val="both"/>
              <w:rPr>
                <w:szCs w:val="24"/>
              </w:rPr>
            </w:pPr>
          </w:p>
          <w:p w:rsidR="00474B67" w:rsidRPr="009B67DD" w:rsidRDefault="009B67DD">
            <w:pPr>
              <w:jc w:val="both"/>
              <w:rPr>
                <w:szCs w:val="24"/>
              </w:rPr>
            </w:pPr>
            <w:r w:rsidRPr="00C34DB0">
              <w:rPr>
                <w:szCs w:val="24"/>
              </w:rPr>
              <w:t>Compétences spécifiques à la spécialité « Recherche »</w:t>
            </w:r>
          </w:p>
          <w:p w:rsidR="00474B67" w:rsidRPr="00662A81" w:rsidRDefault="00474B67">
            <w:pPr>
              <w:numPr>
                <w:ilvl w:val="0"/>
                <w:numId w:val="2"/>
              </w:numPr>
              <w:jc w:val="both"/>
              <w:rPr>
                <w:szCs w:val="24"/>
              </w:rPr>
            </w:pPr>
            <w:r w:rsidRPr="00662A81">
              <w:rPr>
                <w:szCs w:val="24"/>
              </w:rPr>
              <w:t xml:space="preserve">être capable de rédiger et d’exposer oralement, en français et dans </w:t>
            </w:r>
            <w:r w:rsidR="009B67DD" w:rsidRPr="00662A81">
              <w:rPr>
                <w:szCs w:val="24"/>
              </w:rPr>
              <w:t>en portugais</w:t>
            </w:r>
            <w:r w:rsidRPr="00662A81">
              <w:rPr>
                <w:szCs w:val="24"/>
              </w:rPr>
              <w:t>, une question de recherche originale,</w:t>
            </w:r>
          </w:p>
          <w:p w:rsidR="00474B67" w:rsidRPr="00662A81" w:rsidRDefault="00474B67">
            <w:pPr>
              <w:numPr>
                <w:ilvl w:val="0"/>
                <w:numId w:val="2"/>
              </w:numPr>
              <w:jc w:val="both"/>
              <w:rPr>
                <w:szCs w:val="24"/>
              </w:rPr>
            </w:pPr>
            <w:r w:rsidRPr="00662A81">
              <w:rPr>
                <w:szCs w:val="24"/>
              </w:rPr>
              <w:t>être à même d’effectuer une synthèse personnelle à partir d’un corpus varié (notamment de théorie critique) dans un domaine défini,</w:t>
            </w:r>
          </w:p>
          <w:p w:rsidR="00474B67" w:rsidRPr="00662A81" w:rsidRDefault="00474B67">
            <w:pPr>
              <w:numPr>
                <w:ilvl w:val="0"/>
                <w:numId w:val="2"/>
              </w:numPr>
              <w:jc w:val="both"/>
              <w:rPr>
                <w:szCs w:val="24"/>
              </w:rPr>
            </w:pPr>
            <w:r w:rsidRPr="00662A81">
              <w:rPr>
                <w:szCs w:val="24"/>
              </w:rPr>
              <w:t>être capable d’établir une bibliographie critique commentée sur un point de recherche,</w:t>
            </w:r>
          </w:p>
          <w:p w:rsidR="00474B67" w:rsidRPr="00662A81" w:rsidRDefault="00474B67">
            <w:pPr>
              <w:numPr>
                <w:ilvl w:val="0"/>
                <w:numId w:val="2"/>
              </w:numPr>
              <w:jc w:val="both"/>
              <w:rPr>
                <w:szCs w:val="24"/>
              </w:rPr>
            </w:pPr>
            <w:r w:rsidRPr="00662A81">
              <w:rPr>
                <w:szCs w:val="24"/>
              </w:rPr>
              <w:t>être en mesure de définir et d’exploiter un point de recherche original,</w:t>
            </w:r>
          </w:p>
          <w:p w:rsidR="00474B67" w:rsidRPr="00662A81" w:rsidRDefault="00474B67">
            <w:pPr>
              <w:numPr>
                <w:ilvl w:val="0"/>
                <w:numId w:val="2"/>
              </w:numPr>
              <w:jc w:val="both"/>
              <w:rPr>
                <w:szCs w:val="24"/>
              </w:rPr>
            </w:pPr>
            <w:r w:rsidRPr="00662A81">
              <w:rPr>
                <w:szCs w:val="24"/>
              </w:rPr>
              <w:t>savoir nouer des rapports scientifiques sur le plan international avec des spécialistes étrangers,</w:t>
            </w:r>
          </w:p>
          <w:p w:rsidR="00474B67" w:rsidRPr="00662A81" w:rsidRDefault="00474B67">
            <w:pPr>
              <w:numPr>
                <w:ilvl w:val="0"/>
                <w:numId w:val="2"/>
              </w:numPr>
              <w:jc w:val="both"/>
              <w:rPr>
                <w:szCs w:val="24"/>
              </w:rPr>
            </w:pPr>
            <w:r w:rsidRPr="00662A81">
              <w:rPr>
                <w:szCs w:val="24"/>
              </w:rPr>
              <w:t xml:space="preserve">être à même de mobiliser des compétences de rédacteur, au plus haut niveau, en </w:t>
            </w:r>
            <w:r w:rsidR="009B67DD" w:rsidRPr="00662A81">
              <w:rPr>
                <w:szCs w:val="24"/>
              </w:rPr>
              <w:t xml:space="preserve">français </w:t>
            </w:r>
            <w:r w:rsidRPr="00662A81">
              <w:rPr>
                <w:szCs w:val="24"/>
              </w:rPr>
              <w:t xml:space="preserve">et </w:t>
            </w:r>
            <w:r w:rsidR="009B67DD" w:rsidRPr="00662A81">
              <w:rPr>
                <w:szCs w:val="24"/>
              </w:rPr>
              <w:t>en portugais</w:t>
            </w:r>
            <w:r w:rsidRPr="00662A81">
              <w:rPr>
                <w:szCs w:val="24"/>
              </w:rPr>
              <w:t>,</w:t>
            </w:r>
          </w:p>
          <w:p w:rsidR="00474B67" w:rsidRPr="00662A81" w:rsidRDefault="00474B67">
            <w:pPr>
              <w:numPr>
                <w:ilvl w:val="0"/>
                <w:numId w:val="2"/>
              </w:numPr>
              <w:jc w:val="both"/>
              <w:rPr>
                <w:szCs w:val="24"/>
              </w:rPr>
            </w:pPr>
            <w:r w:rsidRPr="00662A81">
              <w:rPr>
                <w:szCs w:val="24"/>
              </w:rPr>
              <w:lastRenderedPageBreak/>
              <w:t>d’autres compétences auront été acquises, qui ne suffiraient pas à elles seules à justifier une inscription en Doctorat, mais qui permettent une réorientation : capacité à mener une recherche électronique, à déchiffrer un manuscrit ou un texte ancien, à synthétiser un document scientifique en le faisant passer d’une langue source à une langue cible.</w:t>
            </w:r>
          </w:p>
          <w:p w:rsidR="00474B67" w:rsidRPr="00662A81" w:rsidRDefault="009B67DD" w:rsidP="00662A81">
            <w:pPr>
              <w:numPr>
                <w:ilvl w:val="0"/>
                <w:numId w:val="2"/>
              </w:numPr>
              <w:jc w:val="both"/>
              <w:rPr>
                <w:szCs w:val="24"/>
              </w:rPr>
            </w:pPr>
            <w:r w:rsidRPr="00C34DB0">
              <w:rPr>
                <w:szCs w:val="24"/>
              </w:rPr>
              <w:t>Pour le volet « Ouverture Entreprise » des séminaires sont assurés par des enseignants de la filière AES (UFR4)</w:t>
            </w:r>
            <w:r>
              <w:rPr>
                <w:szCs w:val="24"/>
              </w:rPr>
              <w:t xml:space="preserve"> </w:t>
            </w:r>
            <w:r w:rsidRPr="00C34DB0">
              <w:rPr>
                <w:szCs w:val="24"/>
              </w:rPr>
              <w:t xml:space="preserve">dans les domaines suivants : </w:t>
            </w:r>
            <w:r w:rsidRPr="00C34DB0">
              <w:t>Sciences de gestion (gestion management des entreprises) en M1 et Droit privé (droits d’auteurs et politique culturelle) en M2.</w:t>
            </w:r>
          </w:p>
        </w:tc>
      </w:tr>
    </w:tbl>
    <w:p w:rsidR="00474B67" w:rsidRDefault="00474B67">
      <w:pPr>
        <w:rPr>
          <w:sz w:val="24"/>
          <w:szCs w:val="24"/>
        </w:rPr>
      </w:pPr>
    </w:p>
    <w:tbl>
      <w:tblPr>
        <w:tblW w:w="9889" w:type="dxa"/>
        <w:tblBorders>
          <w:top w:val="single" w:sz="4" w:space="0" w:color="auto"/>
          <w:left w:val="single" w:sz="4" w:space="0" w:color="auto"/>
          <w:bottom w:val="single" w:sz="4" w:space="0" w:color="auto"/>
          <w:right w:val="single" w:sz="4" w:space="0" w:color="auto"/>
        </w:tblBorders>
        <w:tblLayout w:type="fixed"/>
        <w:tblLook w:val="0000"/>
      </w:tblPr>
      <w:tblGrid>
        <w:gridCol w:w="7054"/>
        <w:gridCol w:w="2835"/>
      </w:tblGrid>
      <w:tr w:rsidR="00474B67" w:rsidTr="005A4208">
        <w:tc>
          <w:tcPr>
            <w:tcW w:w="7054" w:type="dxa"/>
            <w:tcBorders>
              <w:top w:val="single" w:sz="4" w:space="0" w:color="auto"/>
              <w:bottom w:val="single" w:sz="4" w:space="0" w:color="auto"/>
              <w:right w:val="nil"/>
            </w:tcBorders>
            <w:shd w:val="clear" w:color="auto" w:fill="008C89"/>
          </w:tcPr>
          <w:p w:rsidR="00474B67" w:rsidRDefault="00474B67">
            <w:pPr>
              <w:rPr>
                <w:b/>
                <w:bCs/>
                <w:color w:val="FFFFFF"/>
                <w:sz w:val="24"/>
                <w:szCs w:val="24"/>
              </w:rPr>
            </w:pPr>
            <w:r>
              <w:rPr>
                <w:b/>
                <w:bCs/>
                <w:color w:val="FFFFFF"/>
                <w:sz w:val="24"/>
                <w:szCs w:val="24"/>
              </w:rPr>
              <w:t>Secteurs d’activité ou types d’emplois accessibles par le détenteur de ce diplôme, ce titre ou ce certificat (cadre 6)</w:t>
            </w:r>
          </w:p>
        </w:tc>
        <w:tc>
          <w:tcPr>
            <w:tcW w:w="2835" w:type="dxa"/>
            <w:tcBorders>
              <w:top w:val="nil"/>
              <w:left w:val="nil"/>
              <w:bottom w:val="single" w:sz="4" w:space="0" w:color="auto"/>
              <w:right w:val="nil"/>
            </w:tcBorders>
          </w:tcPr>
          <w:p w:rsidR="00474B67" w:rsidRDefault="00474B67">
            <w:pPr>
              <w:rPr>
                <w:sz w:val="24"/>
                <w:szCs w:val="24"/>
              </w:rPr>
            </w:pPr>
          </w:p>
        </w:tc>
      </w:tr>
      <w:tr w:rsidR="00474B67" w:rsidTr="005A4208">
        <w:tc>
          <w:tcPr>
            <w:tcW w:w="9889" w:type="dxa"/>
            <w:gridSpan w:val="2"/>
            <w:tcBorders>
              <w:top w:val="single" w:sz="4" w:space="0" w:color="auto"/>
              <w:bottom w:val="single" w:sz="4" w:space="0" w:color="auto"/>
            </w:tcBorders>
          </w:tcPr>
          <w:p w:rsidR="00474B67" w:rsidRDefault="00474B67">
            <w:pPr>
              <w:jc w:val="both"/>
              <w:rPr>
                <w:sz w:val="22"/>
                <w:szCs w:val="24"/>
              </w:rPr>
            </w:pPr>
            <w:r>
              <w:rPr>
                <w:sz w:val="22"/>
                <w:szCs w:val="24"/>
                <w:u w:val="single"/>
              </w:rPr>
              <w:t>Secteurs d’activités</w:t>
            </w:r>
            <w:r>
              <w:rPr>
                <w:sz w:val="22"/>
                <w:szCs w:val="24"/>
              </w:rPr>
              <w:t> :</w:t>
            </w:r>
          </w:p>
          <w:p w:rsidR="00474B67" w:rsidRDefault="00474B67">
            <w:pPr>
              <w:jc w:val="both"/>
              <w:rPr>
                <w:szCs w:val="24"/>
              </w:rPr>
            </w:pPr>
          </w:p>
          <w:p w:rsidR="00474B67" w:rsidRDefault="00474B67">
            <w:pPr>
              <w:jc w:val="both"/>
              <w:rPr>
                <w:szCs w:val="24"/>
              </w:rPr>
            </w:pPr>
            <w:r>
              <w:rPr>
                <w:szCs w:val="24"/>
              </w:rPr>
              <w:t>Métiers de l’enseignement et de la recherche.</w:t>
            </w:r>
          </w:p>
          <w:p w:rsidR="00474B67" w:rsidRDefault="00474B67">
            <w:pPr>
              <w:jc w:val="both"/>
              <w:rPr>
                <w:szCs w:val="24"/>
              </w:rPr>
            </w:pPr>
            <w:r>
              <w:rPr>
                <w:szCs w:val="24"/>
              </w:rPr>
              <w:t>Métiers exigeant une bonne connaissance des langues et des cultures européennes</w:t>
            </w:r>
            <w:r w:rsidR="00662A81">
              <w:rPr>
                <w:szCs w:val="24"/>
              </w:rPr>
              <w:t xml:space="preserve"> en général et lusophones en particulier</w:t>
            </w:r>
            <w:r>
              <w:rPr>
                <w:szCs w:val="24"/>
              </w:rPr>
              <w:t xml:space="preserve"> (traduction).</w:t>
            </w:r>
          </w:p>
          <w:p w:rsidR="00474B67" w:rsidRDefault="00474B67">
            <w:pPr>
              <w:jc w:val="both"/>
              <w:rPr>
                <w:szCs w:val="24"/>
              </w:rPr>
            </w:pPr>
            <w:r>
              <w:rPr>
                <w:szCs w:val="24"/>
              </w:rPr>
              <w:t>Métiers de la culture (l’édition notamment).</w:t>
            </w:r>
          </w:p>
          <w:p w:rsidR="00474B67" w:rsidRDefault="00474B67">
            <w:pPr>
              <w:jc w:val="both"/>
              <w:rPr>
                <w:szCs w:val="24"/>
              </w:rPr>
            </w:pPr>
            <w:r>
              <w:rPr>
                <w:szCs w:val="24"/>
              </w:rPr>
              <w:t xml:space="preserve">Concours de recrutement de haut niveau de la fonction publique (territoriale, d'Etat et internationale) requérant des compétences de langue et une solide connaissance des cultures des pays lusophones et des compétences de rédacteur. </w:t>
            </w:r>
          </w:p>
          <w:p w:rsidR="00474B67" w:rsidRDefault="00474B67">
            <w:pPr>
              <w:jc w:val="both"/>
              <w:rPr>
                <w:szCs w:val="24"/>
              </w:rPr>
            </w:pPr>
          </w:p>
          <w:p w:rsidR="00474B67" w:rsidRDefault="00474B67">
            <w:pPr>
              <w:jc w:val="both"/>
              <w:rPr>
                <w:sz w:val="24"/>
                <w:szCs w:val="24"/>
              </w:rPr>
            </w:pPr>
          </w:p>
        </w:tc>
      </w:tr>
      <w:tr w:rsidR="00474B67" w:rsidTr="005A4208">
        <w:tc>
          <w:tcPr>
            <w:tcW w:w="9889" w:type="dxa"/>
            <w:gridSpan w:val="2"/>
            <w:tcBorders>
              <w:top w:val="single" w:sz="4" w:space="0" w:color="auto"/>
              <w:bottom w:val="single" w:sz="4" w:space="0" w:color="auto"/>
            </w:tcBorders>
          </w:tcPr>
          <w:p w:rsidR="00474B67" w:rsidRDefault="00474B67">
            <w:pPr>
              <w:jc w:val="both"/>
              <w:rPr>
                <w:sz w:val="24"/>
                <w:szCs w:val="24"/>
              </w:rPr>
            </w:pPr>
            <w:r>
              <w:rPr>
                <w:sz w:val="24"/>
                <w:szCs w:val="24"/>
                <w:u w:val="single"/>
              </w:rPr>
              <w:t>Types d’emplois accessibles</w:t>
            </w:r>
            <w:r>
              <w:rPr>
                <w:sz w:val="24"/>
                <w:szCs w:val="24"/>
              </w:rPr>
              <w:t> :</w:t>
            </w:r>
          </w:p>
          <w:p w:rsidR="00474B67" w:rsidRDefault="00474B67">
            <w:pPr>
              <w:jc w:val="both"/>
            </w:pPr>
            <w:r>
              <w:t xml:space="preserve">Le titulaire peut prétendre aux emplois suivants (liste ouverte) : </w:t>
            </w:r>
          </w:p>
          <w:p w:rsidR="00474B67" w:rsidRDefault="00474B67">
            <w:pPr>
              <w:numPr>
                <w:ilvl w:val="0"/>
                <w:numId w:val="2"/>
              </w:numPr>
              <w:jc w:val="both"/>
            </w:pPr>
            <w:r>
              <w:t>professeur des écoles et des lycées (après concours),</w:t>
            </w:r>
          </w:p>
          <w:p w:rsidR="00474B67" w:rsidRDefault="00474B67">
            <w:pPr>
              <w:numPr>
                <w:ilvl w:val="0"/>
                <w:numId w:val="2"/>
              </w:numPr>
              <w:jc w:val="both"/>
            </w:pPr>
            <w:r>
              <w:t>formateur (formation initiale ou continue),</w:t>
            </w:r>
          </w:p>
          <w:p w:rsidR="00474B67" w:rsidRDefault="00474B67">
            <w:pPr>
              <w:numPr>
                <w:ilvl w:val="0"/>
                <w:numId w:val="2"/>
              </w:numPr>
              <w:jc w:val="both"/>
            </w:pPr>
            <w:r>
              <w:t>coordinateur pédagogique de formateurs,</w:t>
            </w:r>
          </w:p>
          <w:p w:rsidR="00474B67" w:rsidRDefault="00474B67">
            <w:pPr>
              <w:numPr>
                <w:ilvl w:val="0"/>
                <w:numId w:val="2"/>
              </w:numPr>
              <w:jc w:val="both"/>
            </w:pPr>
            <w:r>
              <w:t>animateur culturel,</w:t>
            </w:r>
          </w:p>
          <w:p w:rsidR="00474B67" w:rsidRDefault="00474B67">
            <w:pPr>
              <w:numPr>
                <w:ilvl w:val="0"/>
                <w:numId w:val="2"/>
              </w:numPr>
              <w:jc w:val="both"/>
            </w:pPr>
            <w:r>
              <w:t>rédacteur (presse, culture, patrimoine, etc.),</w:t>
            </w:r>
          </w:p>
          <w:p w:rsidR="00474B67" w:rsidRDefault="00474B67">
            <w:pPr>
              <w:numPr>
                <w:ilvl w:val="0"/>
                <w:numId w:val="2"/>
              </w:numPr>
              <w:jc w:val="both"/>
            </w:pPr>
            <w:r>
              <w:t>traducteur littéraire,</w:t>
            </w:r>
          </w:p>
          <w:p w:rsidR="00474B67" w:rsidRDefault="00474B67">
            <w:pPr>
              <w:numPr>
                <w:ilvl w:val="0"/>
                <w:numId w:val="2"/>
              </w:numPr>
              <w:jc w:val="both"/>
            </w:pPr>
            <w:r>
              <w:t>traducteur réviseur,</w:t>
            </w:r>
          </w:p>
          <w:p w:rsidR="00474B67" w:rsidRDefault="00474B67">
            <w:pPr>
              <w:numPr>
                <w:ilvl w:val="0"/>
                <w:numId w:val="2"/>
              </w:numPr>
              <w:jc w:val="both"/>
            </w:pPr>
            <w:r>
              <w:t>traducteur d’édition.</w:t>
            </w:r>
          </w:p>
          <w:p w:rsidR="00474B67" w:rsidRDefault="00474B67">
            <w:pPr>
              <w:jc w:val="both"/>
              <w:rPr>
                <w:sz w:val="24"/>
                <w:szCs w:val="24"/>
              </w:rPr>
            </w:pPr>
          </w:p>
        </w:tc>
      </w:tr>
      <w:tr w:rsidR="00474B67" w:rsidTr="005A4208">
        <w:trPr>
          <w:trHeight w:val="533"/>
        </w:trPr>
        <w:tc>
          <w:tcPr>
            <w:tcW w:w="9889" w:type="dxa"/>
            <w:gridSpan w:val="2"/>
            <w:tcBorders>
              <w:top w:val="single" w:sz="4" w:space="0" w:color="auto"/>
              <w:bottom w:val="single" w:sz="4" w:space="0" w:color="auto"/>
            </w:tcBorders>
          </w:tcPr>
          <w:p w:rsidR="00474B67" w:rsidRDefault="00474B67">
            <w:pPr>
              <w:jc w:val="both"/>
              <w:rPr>
                <w:sz w:val="24"/>
                <w:szCs w:val="24"/>
              </w:rPr>
            </w:pPr>
            <w:r>
              <w:rPr>
                <w:sz w:val="24"/>
                <w:szCs w:val="24"/>
              </w:rPr>
              <w:t>Codes des fiches ROME les plus proches (5 au maximum) :</w:t>
            </w:r>
          </w:p>
          <w:p w:rsidR="00474B67" w:rsidRDefault="00474B67">
            <w:pPr>
              <w:jc w:val="both"/>
            </w:pPr>
            <w:r>
              <w:t>22121, 22122, 22131, 32211, 32212</w:t>
            </w:r>
          </w:p>
          <w:p w:rsidR="00474B67" w:rsidRDefault="00474B67">
            <w:pPr>
              <w:jc w:val="both"/>
              <w:rPr>
                <w:sz w:val="24"/>
                <w:szCs w:val="24"/>
              </w:rPr>
            </w:pPr>
          </w:p>
        </w:tc>
      </w:tr>
      <w:tr w:rsidR="00474B67" w:rsidTr="005A4208">
        <w:trPr>
          <w:trHeight w:val="369"/>
        </w:trPr>
        <w:tc>
          <w:tcPr>
            <w:tcW w:w="9889" w:type="dxa"/>
            <w:gridSpan w:val="2"/>
            <w:tcBorders>
              <w:top w:val="single" w:sz="4" w:space="0" w:color="auto"/>
              <w:bottom w:val="single" w:sz="4" w:space="0" w:color="auto"/>
            </w:tcBorders>
          </w:tcPr>
          <w:p w:rsidR="00474B67" w:rsidRDefault="00474B67">
            <w:pPr>
              <w:jc w:val="both"/>
              <w:rPr>
                <w:sz w:val="22"/>
                <w:szCs w:val="24"/>
                <w:u w:val="single"/>
              </w:rPr>
            </w:pPr>
            <w:r>
              <w:rPr>
                <w:sz w:val="22"/>
                <w:szCs w:val="24"/>
                <w:u w:val="single"/>
              </w:rPr>
              <w:t>Réglementation d’activités</w:t>
            </w:r>
          </w:p>
          <w:p w:rsidR="00474B67" w:rsidRDefault="00474B67">
            <w:pPr>
              <w:pStyle w:val="Corpsdetexte3"/>
            </w:pPr>
          </w:p>
        </w:tc>
      </w:tr>
    </w:tbl>
    <w:p w:rsidR="00474B67" w:rsidRDefault="00474B67">
      <w:pPr>
        <w:rPr>
          <w:sz w:val="24"/>
          <w:szCs w:val="24"/>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98"/>
        <w:gridCol w:w="567"/>
        <w:gridCol w:w="567"/>
        <w:gridCol w:w="283"/>
        <w:gridCol w:w="4536"/>
      </w:tblGrid>
      <w:tr w:rsidR="00474B67">
        <w:trPr>
          <w:cantSplit/>
          <w:trHeight w:hRule="exact" w:val="303"/>
        </w:trPr>
        <w:tc>
          <w:tcPr>
            <w:tcW w:w="5315" w:type="dxa"/>
            <w:gridSpan w:val="4"/>
            <w:tcBorders>
              <w:bottom w:val="single" w:sz="4" w:space="0" w:color="auto"/>
              <w:right w:val="nil"/>
            </w:tcBorders>
            <w:shd w:val="clear" w:color="auto" w:fill="008C89"/>
          </w:tcPr>
          <w:p w:rsidR="00474B67" w:rsidRDefault="00474B67">
            <w:pPr>
              <w:rPr>
                <w:color w:val="FFFFFF"/>
                <w:sz w:val="24"/>
                <w:szCs w:val="24"/>
              </w:rPr>
            </w:pPr>
            <w:r>
              <w:rPr>
                <w:b/>
                <w:color w:val="FFFFFF"/>
                <w:sz w:val="24"/>
                <w:szCs w:val="24"/>
              </w:rPr>
              <w:t>Modalités d’accès à cette certification (cadre 7)</w:t>
            </w:r>
            <w:r>
              <w:rPr>
                <w:color w:val="FFFFFF"/>
                <w:sz w:val="24"/>
                <w:szCs w:val="24"/>
              </w:rPr>
              <w:tab/>
            </w:r>
          </w:p>
        </w:tc>
        <w:tc>
          <w:tcPr>
            <w:tcW w:w="4536" w:type="dxa"/>
            <w:tcBorders>
              <w:top w:val="nil"/>
              <w:left w:val="nil"/>
              <w:bottom w:val="single" w:sz="4" w:space="0" w:color="auto"/>
              <w:right w:val="nil"/>
            </w:tcBorders>
          </w:tcPr>
          <w:p w:rsidR="00474B67" w:rsidRDefault="00474B67">
            <w:pPr>
              <w:rPr>
                <w:sz w:val="24"/>
                <w:szCs w:val="24"/>
              </w:rPr>
            </w:pPr>
          </w:p>
        </w:tc>
      </w:tr>
      <w:tr w:rsidR="00474B67">
        <w:tc>
          <w:tcPr>
            <w:tcW w:w="9851" w:type="dxa"/>
            <w:gridSpan w:val="5"/>
            <w:tcBorders>
              <w:top w:val="single" w:sz="4" w:space="0" w:color="auto"/>
              <w:left w:val="single" w:sz="4" w:space="0" w:color="auto"/>
              <w:bottom w:val="single" w:sz="4" w:space="0" w:color="auto"/>
              <w:right w:val="single" w:sz="4" w:space="0" w:color="auto"/>
            </w:tcBorders>
          </w:tcPr>
          <w:p w:rsidR="00474B67" w:rsidRDefault="00474B67">
            <w:pPr>
              <w:autoSpaceDE w:val="0"/>
              <w:autoSpaceDN w:val="0"/>
              <w:adjustRightInd w:val="0"/>
            </w:pPr>
          </w:p>
          <w:p w:rsidR="00474B67" w:rsidRDefault="00474B67">
            <w:pPr>
              <w:pStyle w:val="Corpsdetexte"/>
              <w:jc w:val="both"/>
              <w:rPr>
                <w:rFonts w:ascii="Times New Roman" w:hAnsi="Times New Roman"/>
                <w:color w:val="auto"/>
                <w:sz w:val="20"/>
              </w:rPr>
            </w:pPr>
            <w:r>
              <w:rPr>
                <w:rFonts w:ascii="Times New Roman" w:hAnsi="Times New Roman"/>
                <w:color w:val="auto"/>
                <w:sz w:val="20"/>
              </w:rPr>
              <w:t>Pour être inscrits en Master 1, les étudiants doivent justifier d’un diplôme national conférant le grade de licence ou d’une validation d’acquis prévue aux articles L613-3, L613-4, L613-5 du code de l’éducation.</w:t>
            </w:r>
          </w:p>
          <w:p w:rsidR="00474B67" w:rsidRDefault="00474B67">
            <w:pPr>
              <w:pStyle w:val="Corpsdetexte"/>
              <w:jc w:val="both"/>
              <w:rPr>
                <w:rFonts w:ascii="Times New Roman" w:hAnsi="Times New Roman"/>
                <w:color w:val="auto"/>
                <w:sz w:val="20"/>
              </w:rPr>
            </w:pPr>
          </w:p>
          <w:p w:rsidR="00474B67" w:rsidRDefault="00474B67">
            <w:pPr>
              <w:pStyle w:val="Corpsdetexte"/>
              <w:jc w:val="both"/>
              <w:rPr>
                <w:rFonts w:ascii="Times New Roman" w:hAnsi="Times New Roman"/>
                <w:color w:val="auto"/>
                <w:sz w:val="20"/>
              </w:rPr>
            </w:pPr>
            <w:r>
              <w:rPr>
                <w:rFonts w:ascii="Times New Roman" w:hAnsi="Times New Roman"/>
                <w:color w:val="auto"/>
                <w:sz w:val="20"/>
              </w:rPr>
              <w:t>L’accès au Master 2 est subordonné, à l’obtention des 60 premiers crédits du master 1, sauf cas de validation.</w:t>
            </w:r>
          </w:p>
          <w:p w:rsidR="00474B67" w:rsidRDefault="00474B67">
            <w:pPr>
              <w:pStyle w:val="Corpsdetexte"/>
              <w:jc w:val="both"/>
              <w:rPr>
                <w:rFonts w:ascii="Times New Roman" w:hAnsi="Times New Roman"/>
                <w:color w:val="auto"/>
                <w:sz w:val="20"/>
              </w:rPr>
            </w:pPr>
            <w:r>
              <w:rPr>
                <w:rFonts w:ascii="Times New Roman" w:hAnsi="Times New Roman"/>
                <w:color w:val="auto"/>
                <w:sz w:val="20"/>
              </w:rPr>
              <w:t>Le passage en Master 2 Recherche se fait sur critères exclusivement pédagogiques.</w:t>
            </w:r>
          </w:p>
          <w:p w:rsidR="008F0F5B" w:rsidRDefault="008F0F5B">
            <w:pPr>
              <w:pStyle w:val="Corpsdetexte"/>
              <w:jc w:val="both"/>
              <w:rPr>
                <w:rFonts w:ascii="Times New Roman" w:hAnsi="Times New Roman"/>
                <w:color w:val="auto"/>
                <w:sz w:val="20"/>
              </w:rPr>
            </w:pPr>
          </w:p>
          <w:p w:rsidR="008F0F5B" w:rsidRDefault="008F0F5B" w:rsidP="008F0F5B">
            <w:pPr>
              <w:jc w:val="both"/>
              <w:rPr>
                <w:spacing w:val="-2"/>
                <w:w w:val="105"/>
              </w:rPr>
            </w:pPr>
            <w:r>
              <w:rPr>
                <w:spacing w:val="-2"/>
                <w:w w:val="105"/>
              </w:rPr>
              <w:t>Pour les étudiants de la spécialité, il s’agit d’acquérir des compétences scientifiques solides, de maîtriser des savoirs disciplinaires et un savoir faire de qualité. Ces compétences scientifiques qui reposent sur une initiation à la recherche en M1 joueront un rôle essentiel pour tous les étudiants qu’ils se destinent essentiellement à la recherche ou à l’enseignement, qu’ils souhaitent allier les deux, ou qu’ils préfèrent s’orienter vers des activités liées au monde de la culture.</w:t>
            </w:r>
          </w:p>
          <w:p w:rsidR="008F0F5B" w:rsidRDefault="008F0F5B" w:rsidP="008F0F5B">
            <w:pPr>
              <w:jc w:val="both"/>
            </w:pPr>
            <w:r>
              <w:rPr>
                <w:spacing w:val="-2"/>
                <w:w w:val="105"/>
              </w:rPr>
              <w:t>Pour les étudiants plus particulièrement intéressés par la recherche, l</w:t>
            </w:r>
            <w:r>
              <w:rPr>
                <w:spacing w:val="-4"/>
                <w:w w:val="105"/>
              </w:rPr>
              <w:t xml:space="preserve">’objectif de cette spécialité est la formation scientifique de spécialistes de haut niveau qui passera par une </w:t>
            </w:r>
            <w:r w:rsidRPr="008C1E62">
              <w:t xml:space="preserve">meilleure connaissance de la langue choisie indispensable pour toute expression écrite ou orale ; </w:t>
            </w:r>
            <w:r>
              <w:t xml:space="preserve">par une réflexion </w:t>
            </w:r>
            <w:r w:rsidRPr="008C1E62">
              <w:t xml:space="preserve">sur l’histoire, les spécificités de cette langue, sur </w:t>
            </w:r>
            <w:r>
              <w:t>les pratiques de la traduction. Une initiation méthodologique en littérature et civilisation en M1 (semestre 1 et 2) amènera les étudiants à un approfondissement progressif dans ces domaines. Une i</w:t>
            </w:r>
            <w:r w:rsidRPr="008C1E62">
              <w:t>nitiation à des recherches transversales (langue, cultures, arts)</w:t>
            </w:r>
            <w:r>
              <w:t xml:space="preserve"> permettra également des </w:t>
            </w:r>
            <w:r w:rsidRPr="008C1E62">
              <w:t>mises en perspective</w:t>
            </w:r>
            <w:r>
              <w:t xml:space="preserve"> essentielles </w:t>
            </w:r>
            <w:r w:rsidRPr="008C1E62">
              <w:t xml:space="preserve">pour la mise en œuvre d’une recherche </w:t>
            </w:r>
            <w:r>
              <w:t>(</w:t>
            </w:r>
            <w:r w:rsidRPr="008C1E62">
              <w:t>ou d’un enseignement dispensé à des élèves du secondaire</w:t>
            </w:r>
            <w:r>
              <w:t xml:space="preserve"> dans le cas d’un double parcours ou d’une réorientation)</w:t>
            </w:r>
            <w:r w:rsidRPr="008C1E62">
              <w:t>.</w:t>
            </w:r>
            <w:r>
              <w:t xml:space="preserve"> En M2 l’enseignement prendra la forme de séminaires articulés sur </w:t>
            </w:r>
            <w:r w:rsidRPr="00645DB3">
              <w:rPr>
                <w:color w:val="000000"/>
              </w:rPr>
              <w:t xml:space="preserve">les travaux de l’équipe de rattachement. </w:t>
            </w:r>
            <w:r>
              <w:t xml:space="preserve">Les futurs chercheurs devraient </w:t>
            </w:r>
            <w:r>
              <w:lastRenderedPageBreak/>
              <w:t xml:space="preserve">parvenir à </w:t>
            </w:r>
            <w:r>
              <w:rPr>
                <w:spacing w:val="-2"/>
                <w:w w:val="105"/>
              </w:rPr>
              <w:t xml:space="preserve">une autonomie de plus en plus grande pour la mise en </w:t>
            </w:r>
            <w:proofErr w:type="spellStart"/>
            <w:r>
              <w:rPr>
                <w:spacing w:val="-2"/>
                <w:w w:val="105"/>
              </w:rPr>
              <w:t>oeuvre</w:t>
            </w:r>
            <w:proofErr w:type="spellEnd"/>
            <w:r>
              <w:rPr>
                <w:spacing w:val="-2"/>
                <w:w w:val="105"/>
              </w:rPr>
              <w:t xml:space="preserve"> de projets précis de recherche et l’élaboration d’un mémoire en M1 et d’un TPR en M2. Le TPR représentera un </w:t>
            </w:r>
            <w:r w:rsidRPr="00645DB3">
              <w:t>travail personnel conséquent, fondé sur le choix d’un sujet original, des principes scientifiques rigoureux (émission d’hypothèse, démonstration, validation, avec bibliographie pertinente et rigoureusement présentée et organisée), et une expression de qualité</w:t>
            </w:r>
            <w:r>
              <w:t xml:space="preserve"> : à ce stade, l’étudiant est </w:t>
            </w:r>
            <w:r w:rsidRPr="00645DB3">
              <w:t>prêt à aborder un doctorat</w:t>
            </w:r>
            <w:r>
              <w:t>.</w:t>
            </w:r>
          </w:p>
          <w:p w:rsidR="008F0F5B" w:rsidRDefault="008F0F5B" w:rsidP="008F0F5B">
            <w:pPr>
              <w:pStyle w:val="Corpsdetexte"/>
              <w:jc w:val="both"/>
              <w:rPr>
                <w:rFonts w:ascii="Times New Roman" w:hAnsi="Times New Roman"/>
                <w:color w:val="auto"/>
                <w:sz w:val="20"/>
              </w:rPr>
            </w:pPr>
            <w:r w:rsidRPr="00EE473C">
              <w:rPr>
                <w:rFonts w:ascii="Times New Roman" w:hAnsi="Times New Roman"/>
                <w:color w:val="auto"/>
                <w:spacing w:val="-2"/>
                <w:w w:val="105"/>
                <w:sz w:val="20"/>
                <w:szCs w:val="20"/>
              </w:rPr>
              <w:t>L’initiation à la recherche, puis un approfondissement recherche disciplinaire, accompagné d’enseignements plus spécifiquement tournés vers une « ouverture entreprise » donneront aux étudiants désireux de choisir une autre voie professionnelle les moyens de s’intégrer aux métiers de la culture ou autres. Une collaboration avec l’UFR IV, AES, permettra L’acquisition de connaissances dans le domaine  des Sciences de gestion (management entreprise) et de droit privé (droits d’auteur par exemple).</w:t>
            </w:r>
          </w:p>
          <w:p w:rsidR="00474B67" w:rsidRDefault="00474B67">
            <w:pPr>
              <w:autoSpaceDE w:val="0"/>
              <w:autoSpaceDN w:val="0"/>
              <w:adjustRightInd w:val="0"/>
              <w:jc w:val="both"/>
            </w:pPr>
          </w:p>
          <w:p w:rsidR="00474B67" w:rsidRDefault="00474B67">
            <w:pPr>
              <w:autoSpaceDE w:val="0"/>
              <w:autoSpaceDN w:val="0"/>
              <w:adjustRightInd w:val="0"/>
              <w:jc w:val="both"/>
            </w:pPr>
            <w:r>
              <w:t xml:space="preserve">La formation s’organise en 4 semestres. La compensation est organisée par semestre sur la base de la moyenne générale des notes obtenues, pondérées par les coefficients. A l’intérieur de chaque semestre, il y a compensation entre toutes les UE, et à l’intérieur des UE, compensation entre ECUE, conformément aux demandes d’habilitation.  La capitalisation s’applique à toutes les notes d’UE et d’ECUE égales ou supérieures à 10. Le diplôme peut-être préparé soit en enseignement </w:t>
            </w:r>
            <w:proofErr w:type="spellStart"/>
            <w:r>
              <w:t>présentiel</w:t>
            </w:r>
            <w:proofErr w:type="spellEnd"/>
            <w:r>
              <w:t xml:space="preserve">, soit en enseignement non </w:t>
            </w:r>
            <w:proofErr w:type="spellStart"/>
            <w:r>
              <w:t>présentiel</w:t>
            </w:r>
            <w:proofErr w:type="spellEnd"/>
            <w:r>
              <w:t xml:space="preserve">. La formule </w:t>
            </w:r>
            <w:proofErr w:type="spellStart"/>
            <w:r>
              <w:t>présentielle</w:t>
            </w:r>
            <w:proofErr w:type="spellEnd"/>
            <w:r>
              <w:t xml:space="preserve"> se prépare en contrôle continu. La formule non </w:t>
            </w:r>
            <w:proofErr w:type="spellStart"/>
            <w:r>
              <w:t>présentielle</w:t>
            </w:r>
            <w:proofErr w:type="spellEnd"/>
            <w:r>
              <w:t xml:space="preserve"> est accessible aux étudiants dispensés d’assiduité.</w:t>
            </w:r>
          </w:p>
          <w:p w:rsidR="00474B67" w:rsidRDefault="00474B67">
            <w:pPr>
              <w:jc w:val="both"/>
            </w:pPr>
          </w:p>
          <w:p w:rsidR="00474B67" w:rsidRDefault="00474B67">
            <w:pPr>
              <w:autoSpaceDE w:val="0"/>
              <w:autoSpaceDN w:val="0"/>
              <w:adjustRightInd w:val="0"/>
              <w:jc w:val="both"/>
            </w:pPr>
            <w:r>
              <w:t>En Master 2 Recherche, le contrôle des connaissances comporte la soutenance d’un mémoire.</w:t>
            </w:r>
          </w:p>
          <w:p w:rsidR="00474B67" w:rsidRDefault="00474B67">
            <w:pPr>
              <w:autoSpaceDE w:val="0"/>
              <w:autoSpaceDN w:val="0"/>
              <w:adjustRightInd w:val="0"/>
              <w:jc w:val="both"/>
              <w:rPr>
                <w:szCs w:val="24"/>
              </w:rPr>
            </w:pPr>
          </w:p>
          <w:p w:rsidR="00474B67" w:rsidRDefault="00474B67">
            <w:pPr>
              <w:rPr>
                <w:b/>
                <w:szCs w:val="24"/>
              </w:rPr>
            </w:pPr>
            <w:r>
              <w:rPr>
                <w:szCs w:val="24"/>
              </w:rPr>
              <w:t>Le bénéfice des composantes  acquises peut être gardé sans limitation de durée.</w:t>
            </w:r>
            <w:r>
              <w:rPr>
                <w:b/>
                <w:szCs w:val="24"/>
              </w:rPr>
              <w:tab/>
            </w:r>
          </w:p>
          <w:p w:rsidR="008F0F5B" w:rsidRDefault="008F0F5B">
            <w:pPr>
              <w:rPr>
                <w:szCs w:val="24"/>
              </w:rPr>
            </w:pPr>
          </w:p>
        </w:tc>
      </w:tr>
      <w:tr w:rsidR="00474B67" w:rsidRPr="005A4208">
        <w:trPr>
          <w:cantSplit/>
        </w:trPr>
        <w:tc>
          <w:tcPr>
            <w:tcW w:w="3898" w:type="dxa"/>
            <w:tcBorders>
              <w:top w:val="single" w:sz="4" w:space="0" w:color="auto"/>
              <w:bottom w:val="single" w:sz="4" w:space="0" w:color="auto"/>
            </w:tcBorders>
          </w:tcPr>
          <w:p w:rsidR="00474B67" w:rsidRPr="005A4208" w:rsidRDefault="00474B67">
            <w:pPr>
              <w:jc w:val="both"/>
              <w:rPr>
                <w:bCs/>
              </w:rPr>
            </w:pPr>
            <w:r w:rsidRPr="005A4208">
              <w:rPr>
                <w:bCs/>
              </w:rPr>
              <w:lastRenderedPageBreak/>
              <w:t>Conditions d’inscription à la certification</w:t>
            </w:r>
          </w:p>
        </w:tc>
        <w:tc>
          <w:tcPr>
            <w:tcW w:w="567" w:type="dxa"/>
            <w:tcBorders>
              <w:top w:val="single" w:sz="4" w:space="0" w:color="auto"/>
              <w:bottom w:val="single" w:sz="4" w:space="0" w:color="auto"/>
            </w:tcBorders>
          </w:tcPr>
          <w:p w:rsidR="00474B67" w:rsidRPr="005A4208" w:rsidRDefault="00474B67">
            <w:pPr>
              <w:jc w:val="both"/>
              <w:rPr>
                <w:bCs/>
              </w:rPr>
            </w:pPr>
            <w:r w:rsidRPr="005A4208">
              <w:rPr>
                <w:bCs/>
              </w:rPr>
              <w:t>Oui</w:t>
            </w:r>
          </w:p>
        </w:tc>
        <w:tc>
          <w:tcPr>
            <w:tcW w:w="567" w:type="dxa"/>
            <w:tcBorders>
              <w:top w:val="single" w:sz="4" w:space="0" w:color="auto"/>
              <w:bottom w:val="single" w:sz="4" w:space="0" w:color="auto"/>
            </w:tcBorders>
          </w:tcPr>
          <w:p w:rsidR="00474B67" w:rsidRPr="005A4208" w:rsidRDefault="00474B67">
            <w:pPr>
              <w:jc w:val="both"/>
              <w:rPr>
                <w:bCs/>
              </w:rPr>
            </w:pPr>
            <w:r w:rsidRPr="005A4208">
              <w:rPr>
                <w:bCs/>
              </w:rPr>
              <w:t>Non</w:t>
            </w:r>
          </w:p>
        </w:tc>
        <w:tc>
          <w:tcPr>
            <w:tcW w:w="4819" w:type="dxa"/>
            <w:gridSpan w:val="2"/>
            <w:tcBorders>
              <w:top w:val="single" w:sz="4" w:space="0" w:color="auto"/>
              <w:bottom w:val="single" w:sz="4" w:space="0" w:color="auto"/>
            </w:tcBorders>
          </w:tcPr>
          <w:p w:rsidR="00474B67" w:rsidRPr="005A4208" w:rsidRDefault="00474B67">
            <w:pPr>
              <w:jc w:val="both"/>
              <w:rPr>
                <w:bCs/>
              </w:rPr>
            </w:pPr>
            <w:r w:rsidRPr="005A4208">
              <w:rPr>
                <w:bCs/>
              </w:rPr>
              <w:t>Indiquer la composition des jurys</w:t>
            </w:r>
          </w:p>
        </w:tc>
      </w:tr>
      <w:tr w:rsidR="00474B67" w:rsidRPr="005A4208">
        <w:trPr>
          <w:cantSplit/>
          <w:trHeight w:val="70"/>
        </w:trPr>
        <w:tc>
          <w:tcPr>
            <w:tcW w:w="3898" w:type="dxa"/>
            <w:tcBorders>
              <w:top w:val="single" w:sz="4" w:space="0" w:color="auto"/>
              <w:left w:val="single" w:sz="4" w:space="0" w:color="auto"/>
              <w:bottom w:val="single" w:sz="4" w:space="0" w:color="auto"/>
              <w:right w:val="single" w:sz="4" w:space="0" w:color="auto"/>
            </w:tcBorders>
          </w:tcPr>
          <w:p w:rsidR="00474B67" w:rsidRPr="005A4208" w:rsidRDefault="00474B67">
            <w:pPr>
              <w:jc w:val="both"/>
            </w:pPr>
            <w:r w:rsidRPr="005A4208">
              <w:t>Après un parcours de formation sous statut d’élève ou d’étudiant</w:t>
            </w:r>
          </w:p>
        </w:tc>
        <w:tc>
          <w:tcPr>
            <w:tcW w:w="567" w:type="dxa"/>
            <w:tcBorders>
              <w:top w:val="single" w:sz="4" w:space="0" w:color="auto"/>
              <w:left w:val="single" w:sz="4" w:space="0" w:color="auto"/>
              <w:bottom w:val="single" w:sz="4" w:space="0" w:color="auto"/>
              <w:right w:val="single" w:sz="4" w:space="0" w:color="auto"/>
            </w:tcBorders>
          </w:tcPr>
          <w:p w:rsidR="00474B67" w:rsidRPr="005A4208" w:rsidRDefault="00474B67">
            <w:pPr>
              <w:jc w:val="both"/>
            </w:pPr>
          </w:p>
          <w:p w:rsidR="00474B67" w:rsidRPr="005A4208" w:rsidRDefault="00474B67">
            <w:pPr>
              <w:jc w:val="both"/>
            </w:pPr>
            <w:r w:rsidRPr="005A4208">
              <w:t>X</w:t>
            </w:r>
          </w:p>
        </w:tc>
        <w:tc>
          <w:tcPr>
            <w:tcW w:w="567" w:type="dxa"/>
            <w:tcBorders>
              <w:top w:val="single" w:sz="4" w:space="0" w:color="auto"/>
              <w:left w:val="single" w:sz="4" w:space="0" w:color="auto"/>
              <w:bottom w:val="single" w:sz="4" w:space="0" w:color="auto"/>
              <w:right w:val="single" w:sz="4" w:space="0" w:color="auto"/>
            </w:tcBorders>
          </w:tcPr>
          <w:p w:rsidR="00474B67" w:rsidRPr="005A4208" w:rsidRDefault="00474B67">
            <w:pPr>
              <w:jc w:val="both"/>
            </w:pPr>
          </w:p>
        </w:tc>
        <w:tc>
          <w:tcPr>
            <w:tcW w:w="4819" w:type="dxa"/>
            <w:gridSpan w:val="2"/>
            <w:tcBorders>
              <w:top w:val="single" w:sz="4" w:space="0" w:color="auto"/>
              <w:left w:val="single" w:sz="4" w:space="0" w:color="auto"/>
              <w:bottom w:val="single" w:sz="4" w:space="0" w:color="auto"/>
              <w:right w:val="single" w:sz="4" w:space="0" w:color="auto"/>
            </w:tcBorders>
          </w:tcPr>
          <w:p w:rsidR="00474B67" w:rsidRPr="005A4208" w:rsidRDefault="00474B67">
            <w:pPr>
              <w:pStyle w:val="En-tte"/>
              <w:tabs>
                <w:tab w:val="clear" w:pos="4536"/>
                <w:tab w:val="clear" w:pos="9072"/>
              </w:tabs>
              <w:jc w:val="both"/>
              <w:rPr>
                <w:color w:val="FF0000"/>
              </w:rPr>
            </w:pPr>
            <w:r w:rsidRPr="005A4208">
              <w:t>100 % d’enseignants-chercheurs.</w:t>
            </w:r>
          </w:p>
        </w:tc>
      </w:tr>
      <w:tr w:rsidR="00474B67" w:rsidRPr="005A4208">
        <w:trPr>
          <w:cantSplit/>
        </w:trPr>
        <w:tc>
          <w:tcPr>
            <w:tcW w:w="3898" w:type="dxa"/>
            <w:tcBorders>
              <w:top w:val="single" w:sz="4" w:space="0" w:color="auto"/>
              <w:left w:val="single" w:sz="4" w:space="0" w:color="auto"/>
              <w:bottom w:val="single" w:sz="4" w:space="0" w:color="auto"/>
              <w:right w:val="single" w:sz="4" w:space="0" w:color="auto"/>
            </w:tcBorders>
          </w:tcPr>
          <w:p w:rsidR="00474B67" w:rsidRPr="005A4208" w:rsidRDefault="00474B67">
            <w:pPr>
              <w:jc w:val="both"/>
            </w:pPr>
            <w:r w:rsidRPr="005A4208">
              <w:t>En contrat d’apprentissage</w:t>
            </w:r>
          </w:p>
        </w:tc>
        <w:tc>
          <w:tcPr>
            <w:tcW w:w="567" w:type="dxa"/>
            <w:tcBorders>
              <w:top w:val="single" w:sz="4" w:space="0" w:color="auto"/>
              <w:left w:val="single" w:sz="4" w:space="0" w:color="auto"/>
              <w:bottom w:val="single" w:sz="4" w:space="0" w:color="auto"/>
              <w:right w:val="single" w:sz="4" w:space="0" w:color="auto"/>
            </w:tcBorders>
          </w:tcPr>
          <w:p w:rsidR="00474B67" w:rsidRPr="005A4208" w:rsidRDefault="00474B67">
            <w:pPr>
              <w:jc w:val="both"/>
            </w:pPr>
          </w:p>
        </w:tc>
        <w:tc>
          <w:tcPr>
            <w:tcW w:w="567" w:type="dxa"/>
            <w:tcBorders>
              <w:top w:val="single" w:sz="4" w:space="0" w:color="auto"/>
              <w:left w:val="single" w:sz="4" w:space="0" w:color="auto"/>
              <w:bottom w:val="single" w:sz="4" w:space="0" w:color="auto"/>
              <w:right w:val="single" w:sz="4" w:space="0" w:color="auto"/>
            </w:tcBorders>
          </w:tcPr>
          <w:p w:rsidR="00474B67" w:rsidRPr="005A4208" w:rsidRDefault="00474B67">
            <w:pPr>
              <w:jc w:val="both"/>
            </w:pPr>
            <w:r w:rsidRPr="005A4208">
              <w:t>X</w:t>
            </w:r>
          </w:p>
        </w:tc>
        <w:tc>
          <w:tcPr>
            <w:tcW w:w="4819" w:type="dxa"/>
            <w:gridSpan w:val="2"/>
            <w:tcBorders>
              <w:top w:val="single" w:sz="4" w:space="0" w:color="auto"/>
              <w:left w:val="single" w:sz="4" w:space="0" w:color="auto"/>
              <w:bottom w:val="single" w:sz="4" w:space="0" w:color="auto"/>
              <w:right w:val="single" w:sz="4" w:space="0" w:color="auto"/>
            </w:tcBorders>
          </w:tcPr>
          <w:p w:rsidR="00474B67" w:rsidRPr="005A4208" w:rsidRDefault="00474B67">
            <w:pPr>
              <w:jc w:val="both"/>
            </w:pPr>
          </w:p>
        </w:tc>
      </w:tr>
      <w:tr w:rsidR="00474B67" w:rsidRPr="005A4208">
        <w:trPr>
          <w:cantSplit/>
        </w:trPr>
        <w:tc>
          <w:tcPr>
            <w:tcW w:w="3898" w:type="dxa"/>
            <w:tcBorders>
              <w:top w:val="single" w:sz="4" w:space="0" w:color="auto"/>
              <w:left w:val="single" w:sz="4" w:space="0" w:color="auto"/>
              <w:bottom w:val="single" w:sz="4" w:space="0" w:color="auto"/>
              <w:right w:val="single" w:sz="4" w:space="0" w:color="auto"/>
            </w:tcBorders>
          </w:tcPr>
          <w:p w:rsidR="00474B67" w:rsidRPr="005A4208" w:rsidRDefault="00474B67">
            <w:pPr>
              <w:jc w:val="both"/>
            </w:pPr>
            <w:r w:rsidRPr="005A4208">
              <w:t>Après un parcours de formation continue</w:t>
            </w:r>
          </w:p>
        </w:tc>
        <w:tc>
          <w:tcPr>
            <w:tcW w:w="567" w:type="dxa"/>
            <w:tcBorders>
              <w:top w:val="single" w:sz="4" w:space="0" w:color="auto"/>
              <w:left w:val="single" w:sz="4" w:space="0" w:color="auto"/>
              <w:bottom w:val="single" w:sz="4" w:space="0" w:color="auto"/>
              <w:right w:val="single" w:sz="4" w:space="0" w:color="auto"/>
            </w:tcBorders>
          </w:tcPr>
          <w:p w:rsidR="00474B67" w:rsidRPr="005A4208" w:rsidRDefault="00474B67">
            <w:pPr>
              <w:jc w:val="both"/>
            </w:pPr>
            <w:r w:rsidRPr="005A4208">
              <w:t>X</w:t>
            </w:r>
          </w:p>
        </w:tc>
        <w:tc>
          <w:tcPr>
            <w:tcW w:w="567" w:type="dxa"/>
            <w:tcBorders>
              <w:top w:val="single" w:sz="4" w:space="0" w:color="auto"/>
              <w:left w:val="single" w:sz="4" w:space="0" w:color="auto"/>
              <w:bottom w:val="single" w:sz="4" w:space="0" w:color="auto"/>
              <w:right w:val="single" w:sz="4" w:space="0" w:color="auto"/>
            </w:tcBorders>
          </w:tcPr>
          <w:p w:rsidR="00474B67" w:rsidRPr="005A4208" w:rsidRDefault="00474B67">
            <w:pPr>
              <w:jc w:val="both"/>
            </w:pPr>
          </w:p>
        </w:tc>
        <w:tc>
          <w:tcPr>
            <w:tcW w:w="4819" w:type="dxa"/>
            <w:gridSpan w:val="2"/>
            <w:tcBorders>
              <w:top w:val="single" w:sz="4" w:space="0" w:color="auto"/>
              <w:left w:val="single" w:sz="4" w:space="0" w:color="auto"/>
              <w:bottom w:val="single" w:sz="4" w:space="0" w:color="auto"/>
              <w:right w:val="single" w:sz="4" w:space="0" w:color="auto"/>
            </w:tcBorders>
          </w:tcPr>
          <w:p w:rsidR="00474B67" w:rsidRPr="005A4208" w:rsidRDefault="005A4208">
            <w:pPr>
              <w:pStyle w:val="Titre1"/>
              <w:jc w:val="both"/>
              <w:rPr>
                <w:i w:val="0"/>
                <w:color w:val="000000"/>
                <w:sz w:val="20"/>
                <w:szCs w:val="20"/>
              </w:rPr>
            </w:pPr>
            <w:r w:rsidRPr="005A4208">
              <w:rPr>
                <w:i w:val="0"/>
                <w:sz w:val="20"/>
                <w:szCs w:val="20"/>
              </w:rPr>
              <w:t>100 % d’enseignants-chercheurs.</w:t>
            </w:r>
          </w:p>
        </w:tc>
      </w:tr>
      <w:tr w:rsidR="00474B67" w:rsidRPr="005A4208">
        <w:trPr>
          <w:cantSplit/>
        </w:trPr>
        <w:tc>
          <w:tcPr>
            <w:tcW w:w="3898" w:type="dxa"/>
            <w:tcBorders>
              <w:top w:val="single" w:sz="4" w:space="0" w:color="auto"/>
              <w:left w:val="single" w:sz="4" w:space="0" w:color="auto"/>
              <w:bottom w:val="single" w:sz="4" w:space="0" w:color="auto"/>
              <w:right w:val="single" w:sz="4" w:space="0" w:color="auto"/>
            </w:tcBorders>
          </w:tcPr>
          <w:p w:rsidR="00474B67" w:rsidRPr="005A4208" w:rsidRDefault="00474B67">
            <w:pPr>
              <w:jc w:val="both"/>
            </w:pPr>
            <w:r w:rsidRPr="005A4208">
              <w:t>En contrat de professionnalisation</w:t>
            </w:r>
          </w:p>
        </w:tc>
        <w:tc>
          <w:tcPr>
            <w:tcW w:w="567" w:type="dxa"/>
            <w:tcBorders>
              <w:top w:val="single" w:sz="4" w:space="0" w:color="auto"/>
              <w:left w:val="single" w:sz="4" w:space="0" w:color="auto"/>
              <w:bottom w:val="single" w:sz="4" w:space="0" w:color="auto"/>
              <w:right w:val="single" w:sz="4" w:space="0" w:color="auto"/>
            </w:tcBorders>
          </w:tcPr>
          <w:p w:rsidR="00474B67" w:rsidRPr="005A4208" w:rsidRDefault="00474B67">
            <w:pPr>
              <w:jc w:val="both"/>
            </w:pPr>
          </w:p>
        </w:tc>
        <w:tc>
          <w:tcPr>
            <w:tcW w:w="567" w:type="dxa"/>
            <w:tcBorders>
              <w:top w:val="single" w:sz="4" w:space="0" w:color="auto"/>
              <w:left w:val="single" w:sz="4" w:space="0" w:color="auto"/>
              <w:bottom w:val="single" w:sz="4" w:space="0" w:color="auto"/>
              <w:right w:val="single" w:sz="4" w:space="0" w:color="auto"/>
            </w:tcBorders>
          </w:tcPr>
          <w:p w:rsidR="00474B67" w:rsidRPr="005A4208" w:rsidRDefault="00474B67">
            <w:pPr>
              <w:pStyle w:val="Titre3"/>
              <w:jc w:val="both"/>
              <w:rPr>
                <w:sz w:val="20"/>
                <w:szCs w:val="20"/>
              </w:rPr>
            </w:pPr>
            <w:r w:rsidRPr="005A4208">
              <w:rPr>
                <w:sz w:val="20"/>
                <w:szCs w:val="20"/>
              </w:rPr>
              <w:t>X</w:t>
            </w:r>
          </w:p>
        </w:tc>
        <w:tc>
          <w:tcPr>
            <w:tcW w:w="4819" w:type="dxa"/>
            <w:gridSpan w:val="2"/>
            <w:tcBorders>
              <w:top w:val="single" w:sz="4" w:space="0" w:color="auto"/>
              <w:left w:val="single" w:sz="4" w:space="0" w:color="auto"/>
              <w:bottom w:val="single" w:sz="4" w:space="0" w:color="auto"/>
              <w:right w:val="single" w:sz="4" w:space="0" w:color="auto"/>
            </w:tcBorders>
          </w:tcPr>
          <w:p w:rsidR="00474B67" w:rsidRPr="005A4208" w:rsidRDefault="00474B67">
            <w:pPr>
              <w:jc w:val="both"/>
            </w:pPr>
          </w:p>
        </w:tc>
      </w:tr>
      <w:tr w:rsidR="00474B67" w:rsidRPr="005A4208">
        <w:trPr>
          <w:cantSplit/>
        </w:trPr>
        <w:tc>
          <w:tcPr>
            <w:tcW w:w="3898" w:type="dxa"/>
            <w:tcBorders>
              <w:top w:val="single" w:sz="4" w:space="0" w:color="auto"/>
              <w:left w:val="single" w:sz="4" w:space="0" w:color="auto"/>
              <w:bottom w:val="single" w:sz="4" w:space="0" w:color="auto"/>
              <w:right w:val="single" w:sz="4" w:space="0" w:color="auto"/>
            </w:tcBorders>
          </w:tcPr>
          <w:p w:rsidR="00474B67" w:rsidRPr="005A4208" w:rsidRDefault="00474B67">
            <w:pPr>
              <w:jc w:val="both"/>
            </w:pPr>
            <w:r w:rsidRPr="005A4208">
              <w:t>Par candidature individuelle</w:t>
            </w:r>
          </w:p>
        </w:tc>
        <w:tc>
          <w:tcPr>
            <w:tcW w:w="567" w:type="dxa"/>
            <w:tcBorders>
              <w:top w:val="single" w:sz="4" w:space="0" w:color="auto"/>
              <w:left w:val="single" w:sz="4" w:space="0" w:color="auto"/>
              <w:bottom w:val="single" w:sz="4" w:space="0" w:color="auto"/>
              <w:right w:val="single" w:sz="4" w:space="0" w:color="auto"/>
            </w:tcBorders>
          </w:tcPr>
          <w:p w:rsidR="00474B67" w:rsidRPr="005A4208" w:rsidRDefault="00474B67">
            <w:pPr>
              <w:jc w:val="both"/>
            </w:pPr>
            <w:r w:rsidRPr="005A4208">
              <w:t>X</w:t>
            </w:r>
          </w:p>
        </w:tc>
        <w:tc>
          <w:tcPr>
            <w:tcW w:w="567" w:type="dxa"/>
            <w:tcBorders>
              <w:top w:val="single" w:sz="4" w:space="0" w:color="auto"/>
              <w:left w:val="single" w:sz="4" w:space="0" w:color="auto"/>
              <w:bottom w:val="single" w:sz="4" w:space="0" w:color="auto"/>
              <w:right w:val="single" w:sz="4" w:space="0" w:color="auto"/>
            </w:tcBorders>
          </w:tcPr>
          <w:p w:rsidR="00474B67" w:rsidRPr="005A4208" w:rsidRDefault="00474B67">
            <w:pPr>
              <w:jc w:val="both"/>
            </w:pPr>
          </w:p>
        </w:tc>
        <w:tc>
          <w:tcPr>
            <w:tcW w:w="4819" w:type="dxa"/>
            <w:gridSpan w:val="2"/>
            <w:tcBorders>
              <w:top w:val="single" w:sz="4" w:space="0" w:color="auto"/>
              <w:left w:val="single" w:sz="4" w:space="0" w:color="auto"/>
              <w:bottom w:val="single" w:sz="4" w:space="0" w:color="auto"/>
              <w:right w:val="single" w:sz="4" w:space="0" w:color="auto"/>
            </w:tcBorders>
          </w:tcPr>
          <w:p w:rsidR="00474B67" w:rsidRPr="005A4208" w:rsidRDefault="005A4208">
            <w:pPr>
              <w:jc w:val="both"/>
            </w:pPr>
            <w:r w:rsidRPr="005A4208">
              <w:t>100 % d’enseignants-chercheurs.</w:t>
            </w:r>
          </w:p>
        </w:tc>
      </w:tr>
      <w:tr w:rsidR="00474B67" w:rsidRPr="005A4208">
        <w:trPr>
          <w:cantSplit/>
        </w:trPr>
        <w:tc>
          <w:tcPr>
            <w:tcW w:w="3898" w:type="dxa"/>
            <w:tcBorders>
              <w:top w:val="single" w:sz="4" w:space="0" w:color="auto"/>
              <w:left w:val="single" w:sz="4" w:space="0" w:color="auto"/>
              <w:bottom w:val="single" w:sz="4" w:space="0" w:color="auto"/>
              <w:right w:val="single" w:sz="4" w:space="0" w:color="auto"/>
            </w:tcBorders>
          </w:tcPr>
          <w:p w:rsidR="00474B67" w:rsidRPr="005A4208" w:rsidRDefault="00474B67">
            <w:pPr>
              <w:jc w:val="both"/>
            </w:pPr>
            <w:r w:rsidRPr="005A4208">
              <w:t>Par expérience</w:t>
            </w:r>
            <w:r w:rsidRPr="005A4208">
              <w:tab/>
            </w:r>
          </w:p>
          <w:p w:rsidR="00474B67" w:rsidRPr="005A4208" w:rsidRDefault="00474B67">
            <w:pPr>
              <w:jc w:val="both"/>
              <w:rPr>
                <w:i/>
                <w:iCs/>
              </w:rPr>
            </w:pPr>
            <w:r w:rsidRPr="005A4208">
              <w:rPr>
                <w:i/>
                <w:iCs/>
              </w:rPr>
              <w:t>Date de mise en place : ne rien inscrire</w:t>
            </w:r>
          </w:p>
        </w:tc>
        <w:tc>
          <w:tcPr>
            <w:tcW w:w="567" w:type="dxa"/>
            <w:tcBorders>
              <w:top w:val="single" w:sz="4" w:space="0" w:color="auto"/>
              <w:left w:val="single" w:sz="4" w:space="0" w:color="auto"/>
              <w:bottom w:val="single" w:sz="4" w:space="0" w:color="auto"/>
              <w:right w:val="single" w:sz="4" w:space="0" w:color="auto"/>
            </w:tcBorders>
          </w:tcPr>
          <w:p w:rsidR="00474B67" w:rsidRPr="005A4208" w:rsidRDefault="00474B67">
            <w:pPr>
              <w:jc w:val="both"/>
            </w:pPr>
            <w:r w:rsidRPr="005A4208">
              <w:t>X</w:t>
            </w:r>
          </w:p>
        </w:tc>
        <w:tc>
          <w:tcPr>
            <w:tcW w:w="567" w:type="dxa"/>
            <w:tcBorders>
              <w:top w:val="single" w:sz="4" w:space="0" w:color="auto"/>
              <w:left w:val="single" w:sz="4" w:space="0" w:color="auto"/>
              <w:bottom w:val="single" w:sz="4" w:space="0" w:color="auto"/>
              <w:right w:val="single" w:sz="4" w:space="0" w:color="auto"/>
            </w:tcBorders>
          </w:tcPr>
          <w:p w:rsidR="00474B67" w:rsidRPr="005A4208" w:rsidRDefault="00474B67">
            <w:pPr>
              <w:jc w:val="both"/>
            </w:pPr>
          </w:p>
        </w:tc>
        <w:tc>
          <w:tcPr>
            <w:tcW w:w="4819" w:type="dxa"/>
            <w:gridSpan w:val="2"/>
            <w:tcBorders>
              <w:top w:val="single" w:sz="4" w:space="0" w:color="auto"/>
              <w:left w:val="single" w:sz="4" w:space="0" w:color="auto"/>
              <w:bottom w:val="single" w:sz="4" w:space="0" w:color="auto"/>
              <w:right w:val="single" w:sz="4" w:space="0" w:color="auto"/>
            </w:tcBorders>
          </w:tcPr>
          <w:p w:rsidR="00474B67" w:rsidRPr="005A4208" w:rsidRDefault="005A4208">
            <w:pPr>
              <w:pStyle w:val="En-tte"/>
              <w:tabs>
                <w:tab w:val="clear" w:pos="4536"/>
                <w:tab w:val="clear" w:pos="9072"/>
              </w:tabs>
              <w:jc w:val="both"/>
            </w:pPr>
            <w:r w:rsidRPr="005A4208">
              <w:t>100 % d’enseignants-chercheurs.</w:t>
            </w:r>
          </w:p>
        </w:tc>
      </w:tr>
    </w:tbl>
    <w:p w:rsidR="00474B67" w:rsidRDefault="00474B67">
      <w:pPr>
        <w:jc w:val="both"/>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6"/>
        <w:gridCol w:w="5103"/>
      </w:tblGrid>
      <w:tr w:rsidR="00474B67">
        <w:tc>
          <w:tcPr>
            <w:tcW w:w="4786" w:type="dxa"/>
            <w:tcBorders>
              <w:right w:val="nil"/>
            </w:tcBorders>
            <w:shd w:val="clear" w:color="auto" w:fill="008C89"/>
          </w:tcPr>
          <w:p w:rsidR="00474B67" w:rsidRDefault="00474B67">
            <w:pPr>
              <w:jc w:val="both"/>
              <w:rPr>
                <w:b/>
                <w:color w:val="FFFFFF"/>
                <w:sz w:val="24"/>
                <w:szCs w:val="24"/>
              </w:rPr>
            </w:pPr>
            <w:r>
              <w:rPr>
                <w:b/>
                <w:color w:val="FFFFFF"/>
                <w:sz w:val="24"/>
                <w:szCs w:val="24"/>
              </w:rPr>
              <w:t>Liens avec d’autres certifications (cadre 8)</w:t>
            </w:r>
          </w:p>
        </w:tc>
        <w:tc>
          <w:tcPr>
            <w:tcW w:w="5103" w:type="dxa"/>
            <w:tcBorders>
              <w:left w:val="nil"/>
            </w:tcBorders>
            <w:shd w:val="clear" w:color="auto" w:fill="008C89"/>
          </w:tcPr>
          <w:p w:rsidR="00474B67" w:rsidRDefault="00474B67">
            <w:pPr>
              <w:jc w:val="both"/>
              <w:rPr>
                <w:b/>
                <w:color w:val="FFFFFF"/>
                <w:sz w:val="24"/>
                <w:szCs w:val="24"/>
              </w:rPr>
            </w:pPr>
            <w:r>
              <w:rPr>
                <w:b/>
                <w:color w:val="FFFFFF"/>
                <w:sz w:val="24"/>
                <w:szCs w:val="24"/>
              </w:rPr>
              <w:t>Accords européens ou internationaux (cadre 9)</w:t>
            </w:r>
          </w:p>
        </w:tc>
      </w:tr>
      <w:tr w:rsidR="00474B67" w:rsidRPr="005A4208">
        <w:tc>
          <w:tcPr>
            <w:tcW w:w="4786" w:type="dxa"/>
          </w:tcPr>
          <w:p w:rsidR="00474B67" w:rsidRPr="005A4208" w:rsidRDefault="00474B67">
            <w:pPr>
              <w:jc w:val="both"/>
              <w:rPr>
                <w:bCs/>
                <w:color w:val="FF0000"/>
              </w:rPr>
            </w:pPr>
            <w:r w:rsidRPr="005A4208">
              <w:rPr>
                <w:bCs/>
              </w:rPr>
              <w:t>Prise en compte de certifications émanant d’autres universités françaises par validation partielle</w:t>
            </w:r>
            <w:r w:rsidRPr="005A4208">
              <w:rPr>
                <w:bCs/>
                <w:color w:val="FF0000"/>
              </w:rPr>
              <w:t xml:space="preserve">. </w:t>
            </w:r>
          </w:p>
        </w:tc>
        <w:tc>
          <w:tcPr>
            <w:tcW w:w="5103" w:type="dxa"/>
          </w:tcPr>
          <w:p w:rsidR="00474B67" w:rsidRPr="005A4208" w:rsidRDefault="00474B67">
            <w:pPr>
              <w:jc w:val="both"/>
              <w:rPr>
                <w:bCs/>
              </w:rPr>
            </w:pPr>
            <w:r w:rsidRPr="005A4208">
              <w:rPr>
                <w:bCs/>
              </w:rPr>
              <w:t xml:space="preserve">Convention ERASMUS avec les Universités de Lisbonne, Coimbra et Evora (Portugal). Convention avec les Universités brésiliennes de Porto </w:t>
            </w:r>
            <w:proofErr w:type="spellStart"/>
            <w:r w:rsidRPr="005A4208">
              <w:rPr>
                <w:bCs/>
              </w:rPr>
              <w:t>Alegre</w:t>
            </w:r>
            <w:proofErr w:type="spellEnd"/>
            <w:r w:rsidRPr="005A4208">
              <w:rPr>
                <w:bCs/>
              </w:rPr>
              <w:t xml:space="preserve"> (Rio Grande do Sul) et Recife (</w:t>
            </w:r>
            <w:proofErr w:type="spellStart"/>
            <w:r w:rsidRPr="005A4208">
              <w:rPr>
                <w:bCs/>
              </w:rPr>
              <w:t>Pernambuco</w:t>
            </w:r>
            <w:proofErr w:type="spellEnd"/>
            <w:r w:rsidRPr="005A4208">
              <w:rPr>
                <w:bCs/>
              </w:rPr>
              <w:t>)</w:t>
            </w:r>
          </w:p>
        </w:tc>
      </w:tr>
    </w:tbl>
    <w:p w:rsidR="00474B67" w:rsidRDefault="00474B67">
      <w:pPr>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2"/>
        <w:gridCol w:w="7087"/>
      </w:tblGrid>
      <w:tr w:rsidR="00474B67">
        <w:trPr>
          <w:cantSplit/>
          <w:trHeight w:val="319"/>
        </w:trPr>
        <w:tc>
          <w:tcPr>
            <w:tcW w:w="2802" w:type="dxa"/>
            <w:tcBorders>
              <w:bottom w:val="single" w:sz="4" w:space="0" w:color="auto"/>
              <w:right w:val="nil"/>
            </w:tcBorders>
            <w:shd w:val="clear" w:color="auto" w:fill="008C89"/>
          </w:tcPr>
          <w:p w:rsidR="00474B67" w:rsidRDefault="00474B67">
            <w:pPr>
              <w:rPr>
                <w:b/>
                <w:color w:val="FFFFFF"/>
                <w:sz w:val="24"/>
                <w:szCs w:val="24"/>
              </w:rPr>
            </w:pPr>
            <w:r>
              <w:rPr>
                <w:b/>
                <w:color w:val="FFFFFF"/>
                <w:sz w:val="24"/>
                <w:szCs w:val="24"/>
              </w:rPr>
              <w:t>Base légale (cadre 10)</w:t>
            </w:r>
          </w:p>
        </w:tc>
        <w:tc>
          <w:tcPr>
            <w:tcW w:w="7087" w:type="dxa"/>
            <w:tcBorders>
              <w:top w:val="nil"/>
              <w:left w:val="nil"/>
              <w:bottom w:val="single" w:sz="4" w:space="0" w:color="auto"/>
              <w:right w:val="nil"/>
            </w:tcBorders>
          </w:tcPr>
          <w:p w:rsidR="00474B67" w:rsidRDefault="00474B67">
            <w:pPr>
              <w:rPr>
                <w:b/>
                <w:sz w:val="24"/>
                <w:szCs w:val="24"/>
              </w:rPr>
            </w:pPr>
          </w:p>
        </w:tc>
      </w:tr>
      <w:tr w:rsidR="00474B67" w:rsidRPr="005A4208">
        <w:trPr>
          <w:cantSplit/>
          <w:trHeight w:val="1463"/>
        </w:trPr>
        <w:tc>
          <w:tcPr>
            <w:tcW w:w="9889" w:type="dxa"/>
            <w:gridSpan w:val="2"/>
            <w:tcBorders>
              <w:top w:val="single" w:sz="4" w:space="0" w:color="auto"/>
              <w:left w:val="single" w:sz="4" w:space="0" w:color="auto"/>
              <w:bottom w:val="single" w:sz="4" w:space="0" w:color="auto"/>
              <w:right w:val="single" w:sz="4" w:space="0" w:color="auto"/>
            </w:tcBorders>
          </w:tcPr>
          <w:p w:rsidR="00474B67" w:rsidRPr="005A4208" w:rsidRDefault="00474B67">
            <w:pPr>
              <w:rPr>
                <w:color w:val="000000"/>
              </w:rPr>
            </w:pPr>
            <w:r w:rsidRPr="005A4208">
              <w:rPr>
                <w:color w:val="000000"/>
                <w:u w:val="single"/>
              </w:rPr>
              <w:t>Référence arrêté création (ou date 1er arrêté enregistrement)</w:t>
            </w:r>
            <w:r w:rsidRPr="005A4208">
              <w:rPr>
                <w:color w:val="000000"/>
              </w:rPr>
              <w:t xml:space="preserve"> :</w:t>
            </w:r>
          </w:p>
          <w:p w:rsidR="00474B67" w:rsidRPr="005A4208" w:rsidRDefault="00474B67">
            <w:pPr>
              <w:rPr>
                <w:color w:val="000000"/>
              </w:rPr>
            </w:pPr>
          </w:p>
          <w:p w:rsidR="00474B67" w:rsidRPr="005A4208" w:rsidRDefault="00474B67">
            <w:pPr>
              <w:rPr>
                <w:color w:val="000000"/>
              </w:rPr>
            </w:pPr>
            <w:r w:rsidRPr="005A4208">
              <w:rPr>
                <w:color w:val="000000"/>
              </w:rPr>
              <w:t>Arrêté du 25 avril 2002 publié au JO du 27 avril 2002.</w:t>
            </w:r>
          </w:p>
          <w:p w:rsidR="00474B67" w:rsidRPr="005A4208" w:rsidRDefault="00474B67">
            <w:pPr>
              <w:rPr>
                <w:color w:val="000000"/>
              </w:rPr>
            </w:pPr>
          </w:p>
          <w:p w:rsidR="00474B67" w:rsidRPr="005A4208" w:rsidRDefault="00474B67">
            <w:pPr>
              <w:rPr>
                <w:color w:val="000000"/>
              </w:rPr>
            </w:pPr>
            <w:r w:rsidRPr="005A4208">
              <w:rPr>
                <w:color w:val="000000"/>
                <w:u w:val="single"/>
              </w:rPr>
              <w:t>Références autres</w:t>
            </w:r>
            <w:r w:rsidRPr="005A4208">
              <w:rPr>
                <w:color w:val="000000"/>
              </w:rPr>
              <w:t xml:space="preserve"> :</w:t>
            </w:r>
          </w:p>
          <w:p w:rsidR="00474B67" w:rsidRPr="005A4208" w:rsidRDefault="00474B67">
            <w:pPr>
              <w:rPr>
                <w:color w:val="000000"/>
              </w:rPr>
            </w:pPr>
          </w:p>
          <w:p w:rsidR="00474B67" w:rsidRPr="005A4208" w:rsidRDefault="00474B67">
            <w:pPr>
              <w:rPr>
                <w:color w:val="000000"/>
              </w:rPr>
            </w:pPr>
            <w:r w:rsidRPr="005A4208">
              <w:t>Arrêté du 19 juillet 2007 relatif à l’habilitation de l’Université Montpellier 3 à délivrer des diplômes nationaux.</w:t>
            </w:r>
          </w:p>
          <w:p w:rsidR="00474B67" w:rsidRPr="005A4208" w:rsidRDefault="00474B67">
            <w:pPr>
              <w:rPr>
                <w:bCs/>
              </w:rPr>
            </w:pPr>
          </w:p>
        </w:tc>
      </w:tr>
    </w:tbl>
    <w:p w:rsidR="00474B67" w:rsidRDefault="00474B67">
      <w:pPr>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36"/>
        <w:gridCol w:w="5953"/>
      </w:tblGrid>
      <w:tr w:rsidR="00474B67">
        <w:trPr>
          <w:cantSplit/>
          <w:trHeight w:val="249"/>
        </w:trPr>
        <w:tc>
          <w:tcPr>
            <w:tcW w:w="3936" w:type="dxa"/>
            <w:tcBorders>
              <w:top w:val="single" w:sz="4" w:space="0" w:color="auto"/>
              <w:left w:val="single" w:sz="4" w:space="0" w:color="auto"/>
              <w:bottom w:val="single" w:sz="4" w:space="0" w:color="auto"/>
              <w:right w:val="nil"/>
            </w:tcBorders>
            <w:shd w:val="clear" w:color="auto" w:fill="008C89"/>
          </w:tcPr>
          <w:p w:rsidR="00474B67" w:rsidRDefault="00474B67">
            <w:pPr>
              <w:rPr>
                <w:b/>
                <w:color w:val="FFFFFF"/>
                <w:sz w:val="24"/>
                <w:szCs w:val="24"/>
              </w:rPr>
            </w:pPr>
            <w:r>
              <w:rPr>
                <w:b/>
                <w:color w:val="FFFFFF"/>
                <w:sz w:val="24"/>
                <w:szCs w:val="24"/>
              </w:rPr>
              <w:t>Pour plus d’information (cadre 11)</w:t>
            </w:r>
          </w:p>
        </w:tc>
        <w:tc>
          <w:tcPr>
            <w:tcW w:w="5953" w:type="dxa"/>
            <w:tcBorders>
              <w:top w:val="nil"/>
              <w:left w:val="nil"/>
              <w:bottom w:val="single" w:sz="4" w:space="0" w:color="auto"/>
              <w:right w:val="nil"/>
            </w:tcBorders>
          </w:tcPr>
          <w:p w:rsidR="00474B67" w:rsidRDefault="00474B67">
            <w:pPr>
              <w:rPr>
                <w:b/>
                <w:sz w:val="24"/>
                <w:szCs w:val="24"/>
              </w:rPr>
            </w:pPr>
          </w:p>
        </w:tc>
      </w:tr>
      <w:tr w:rsidR="00474B67" w:rsidTr="008F0F5B">
        <w:tc>
          <w:tcPr>
            <w:tcW w:w="9889" w:type="dxa"/>
            <w:gridSpan w:val="2"/>
            <w:tcBorders>
              <w:top w:val="single" w:sz="4" w:space="0" w:color="auto"/>
              <w:left w:val="single" w:sz="4" w:space="0" w:color="auto"/>
              <w:bottom w:val="single" w:sz="4" w:space="0" w:color="auto"/>
              <w:right w:val="single" w:sz="4" w:space="0" w:color="auto"/>
            </w:tcBorders>
          </w:tcPr>
          <w:p w:rsidR="00474B67" w:rsidRDefault="009862B7">
            <w:pPr>
              <w:rPr>
                <w:color w:val="0000FF"/>
                <w:szCs w:val="24"/>
              </w:rPr>
            </w:pPr>
            <w:hyperlink r:id="rId7" w:history="1">
              <w:r w:rsidR="00474B67">
                <w:rPr>
                  <w:rStyle w:val="Lienhypertexte"/>
                </w:rPr>
                <w:t>http://www.univ-montp3.fr/</w:t>
              </w:r>
            </w:hyperlink>
          </w:p>
          <w:p w:rsidR="00474B67" w:rsidRDefault="00474B67">
            <w:pPr>
              <w:rPr>
                <w:szCs w:val="24"/>
                <w:u w:val="single"/>
              </w:rPr>
            </w:pPr>
          </w:p>
          <w:p w:rsidR="00474B67" w:rsidRDefault="00474B67">
            <w:pPr>
              <w:rPr>
                <w:szCs w:val="24"/>
              </w:rPr>
            </w:pPr>
            <w:r>
              <w:rPr>
                <w:szCs w:val="24"/>
                <w:u w:val="single"/>
              </w:rPr>
              <w:t>Lieu(x) de certification</w:t>
            </w:r>
            <w:r>
              <w:rPr>
                <w:szCs w:val="24"/>
              </w:rPr>
              <w:t xml:space="preserve"> : </w:t>
            </w:r>
          </w:p>
          <w:p w:rsidR="00474B67" w:rsidRDefault="00474B67">
            <w:pPr>
              <w:rPr>
                <w:szCs w:val="24"/>
              </w:rPr>
            </w:pPr>
            <w:r>
              <w:rPr>
                <w:szCs w:val="24"/>
              </w:rPr>
              <w:t>Université Paul Valéry-Montpellier 3</w:t>
            </w:r>
          </w:p>
          <w:p w:rsidR="00474B67" w:rsidRDefault="00474B67">
            <w:pPr>
              <w:rPr>
                <w:szCs w:val="24"/>
              </w:rPr>
            </w:pPr>
            <w:r>
              <w:rPr>
                <w:szCs w:val="24"/>
              </w:rPr>
              <w:t xml:space="preserve">Route de Mende 34199 Montpellier cedex 5. </w:t>
            </w:r>
          </w:p>
          <w:p w:rsidR="00474B67" w:rsidRDefault="00474B67">
            <w:pPr>
              <w:rPr>
                <w:szCs w:val="24"/>
              </w:rPr>
            </w:pPr>
            <w:r>
              <w:rPr>
                <w:szCs w:val="24"/>
              </w:rPr>
              <w:t>Téléphone : 04 67 14 20 00 Fax : 04 67 14 20 52</w:t>
            </w:r>
          </w:p>
          <w:p w:rsidR="00474B67" w:rsidRDefault="00474B67">
            <w:pPr>
              <w:rPr>
                <w:szCs w:val="24"/>
              </w:rPr>
            </w:pPr>
          </w:p>
          <w:p w:rsidR="00474B67" w:rsidRDefault="00474B67">
            <w:pPr>
              <w:rPr>
                <w:szCs w:val="24"/>
              </w:rPr>
            </w:pPr>
            <w:r>
              <w:rPr>
                <w:szCs w:val="24"/>
                <w:u w:val="single"/>
              </w:rPr>
              <w:t>Lieu(x) de préparation à la certification déclaré(s) par l’organisme certificateur</w:t>
            </w:r>
            <w:r>
              <w:rPr>
                <w:szCs w:val="24"/>
              </w:rPr>
              <w:t> : Montpellier</w:t>
            </w:r>
          </w:p>
          <w:p w:rsidR="00662A81" w:rsidRDefault="00662A81">
            <w:pPr>
              <w:rPr>
                <w:szCs w:val="24"/>
              </w:rPr>
            </w:pPr>
          </w:p>
          <w:p w:rsidR="00474B67" w:rsidRDefault="00662A81">
            <w:pPr>
              <w:rPr>
                <w:szCs w:val="24"/>
              </w:rPr>
            </w:pPr>
            <w:r>
              <w:rPr>
                <w:szCs w:val="24"/>
                <w:u w:val="single"/>
              </w:rPr>
              <w:lastRenderedPageBreak/>
              <w:t>Historique</w:t>
            </w:r>
            <w:r>
              <w:rPr>
                <w:szCs w:val="24"/>
              </w:rPr>
              <w:t xml:space="preserve"> : Création de la Mention de Master LCER en septembre 2007, formation hébergeant la spécialité « Etudes romanes », au sein duquel se situait le parcours « Etudes lusophones » durant la période 2007-2010. </w:t>
            </w:r>
          </w:p>
        </w:tc>
      </w:tr>
    </w:tbl>
    <w:p w:rsidR="00474B67" w:rsidRDefault="00474B67">
      <w:pPr>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52"/>
        <w:gridCol w:w="6237"/>
      </w:tblGrid>
      <w:tr w:rsidR="00474B67">
        <w:trPr>
          <w:cantSplit/>
          <w:trHeight w:val="249"/>
        </w:trPr>
        <w:tc>
          <w:tcPr>
            <w:tcW w:w="3652" w:type="dxa"/>
            <w:tcBorders>
              <w:top w:val="single" w:sz="4" w:space="0" w:color="auto"/>
              <w:left w:val="single" w:sz="4" w:space="0" w:color="auto"/>
              <w:bottom w:val="single" w:sz="4" w:space="0" w:color="auto"/>
              <w:right w:val="nil"/>
            </w:tcBorders>
            <w:shd w:val="clear" w:color="auto" w:fill="008C89"/>
          </w:tcPr>
          <w:p w:rsidR="00474B67" w:rsidRDefault="00474B67">
            <w:pPr>
              <w:rPr>
                <w:b/>
                <w:color w:val="FFFFFF"/>
                <w:sz w:val="24"/>
                <w:szCs w:val="24"/>
              </w:rPr>
            </w:pPr>
            <w:r>
              <w:rPr>
                <w:b/>
                <w:color w:val="FFFFFF"/>
                <w:sz w:val="24"/>
                <w:szCs w:val="24"/>
              </w:rPr>
              <w:t>Liste des liens sources (cadre 12)</w:t>
            </w:r>
          </w:p>
        </w:tc>
        <w:tc>
          <w:tcPr>
            <w:tcW w:w="6237" w:type="dxa"/>
            <w:tcBorders>
              <w:top w:val="nil"/>
              <w:left w:val="nil"/>
              <w:bottom w:val="single" w:sz="4" w:space="0" w:color="auto"/>
              <w:right w:val="nil"/>
            </w:tcBorders>
          </w:tcPr>
          <w:p w:rsidR="00474B67" w:rsidRDefault="00474B67">
            <w:pPr>
              <w:rPr>
                <w:b/>
                <w:sz w:val="24"/>
                <w:szCs w:val="24"/>
              </w:rPr>
            </w:pPr>
          </w:p>
        </w:tc>
      </w:tr>
      <w:tr w:rsidR="00474B67" w:rsidRPr="005A4208">
        <w:trPr>
          <w:cantSplit/>
          <w:trHeight w:val="601"/>
        </w:trPr>
        <w:tc>
          <w:tcPr>
            <w:tcW w:w="9889" w:type="dxa"/>
            <w:gridSpan w:val="2"/>
            <w:tcBorders>
              <w:top w:val="single" w:sz="4" w:space="0" w:color="auto"/>
              <w:left w:val="single" w:sz="4" w:space="0" w:color="auto"/>
              <w:bottom w:val="single" w:sz="4" w:space="0" w:color="auto"/>
              <w:right w:val="single" w:sz="4" w:space="0" w:color="auto"/>
            </w:tcBorders>
          </w:tcPr>
          <w:p w:rsidR="00474B67" w:rsidRPr="005A4208" w:rsidRDefault="00474B67">
            <w:r w:rsidRPr="005A4208">
              <w:rPr>
                <w:u w:val="single"/>
              </w:rPr>
              <w:t>Site Internet de l’autorité délivrant la certification</w:t>
            </w:r>
          </w:p>
          <w:p w:rsidR="00474B67" w:rsidRPr="005A4208" w:rsidRDefault="009862B7">
            <w:hyperlink r:id="rId8" w:history="1">
              <w:r w:rsidR="00474B67" w:rsidRPr="005A4208">
                <w:rPr>
                  <w:rStyle w:val="Lienhypertexte"/>
                </w:rPr>
                <w:t>www.univ-montp3.fr</w:t>
              </w:r>
            </w:hyperlink>
            <w:r w:rsidR="00474B67" w:rsidRPr="005A4208">
              <w:t xml:space="preserve"> </w:t>
            </w:r>
          </w:p>
          <w:p w:rsidR="00474B67" w:rsidRPr="005A4208" w:rsidRDefault="00474B67"/>
        </w:tc>
      </w:tr>
    </w:tbl>
    <w:p w:rsidR="00474B67" w:rsidRDefault="00474B67"/>
    <w:sectPr w:rsidR="00474B67" w:rsidSect="001755BD">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6DB" w:rsidRDefault="003256DB">
      <w:r>
        <w:separator/>
      </w:r>
    </w:p>
  </w:endnote>
  <w:endnote w:type="continuationSeparator" w:id="0">
    <w:p w:rsidR="003256DB" w:rsidRDefault="003256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B67" w:rsidRDefault="00474B67">
    <w:pPr>
      <w:pStyle w:val="Pieddepage"/>
    </w:pPr>
    <w:r>
      <w:t xml:space="preserve">Page </w:t>
    </w:r>
    <w:fldSimple w:instr=" PAGE ">
      <w:r w:rsidR="008F0F5B">
        <w:rPr>
          <w:noProof/>
        </w:rPr>
        <w:t>4</w:t>
      </w:r>
    </w:fldSimple>
    <w:r>
      <w:t xml:space="preserve"> sur </w:t>
    </w:r>
    <w:fldSimple w:instr=" NUMPAGES ">
      <w:r w:rsidR="008F0F5B">
        <w:rPr>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6DB" w:rsidRDefault="003256DB">
      <w:r>
        <w:separator/>
      </w:r>
    </w:p>
  </w:footnote>
  <w:footnote w:type="continuationSeparator" w:id="0">
    <w:p w:rsidR="003256DB" w:rsidRDefault="003256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B67" w:rsidRDefault="007C2D5F">
    <w:pPr>
      <w:pStyle w:val="En-tte"/>
    </w:pPr>
    <w:r>
      <w:rPr>
        <w:noProof/>
      </w:rPr>
      <w:drawing>
        <wp:anchor distT="0" distB="0" distL="114300" distR="114300" simplePos="0" relativeHeight="251657728" behindDoc="1" locked="0" layoutInCell="1" allowOverlap="1">
          <wp:simplePos x="0" y="0"/>
          <wp:positionH relativeFrom="column">
            <wp:posOffset>-162560</wp:posOffset>
          </wp:positionH>
          <wp:positionV relativeFrom="paragraph">
            <wp:posOffset>-104140</wp:posOffset>
          </wp:positionV>
          <wp:extent cx="695325" cy="323850"/>
          <wp:effectExtent l="19050" t="0" r="9525" b="0"/>
          <wp:wrapTight wrapText="bothSides">
            <wp:wrapPolygon edited="0">
              <wp:start x="-592" y="0"/>
              <wp:lineTo x="-592" y="20329"/>
              <wp:lineTo x="21896" y="20329"/>
              <wp:lineTo x="21896" y="0"/>
              <wp:lineTo x="-592" y="0"/>
            </wp:wrapPolygon>
          </wp:wrapTight>
          <wp:docPr id="1" name="Image 1" descr="LOGOCNCPdo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NCPdoux"/>
                  <pic:cNvPicPr>
                    <a:picLocks noChangeAspect="1" noChangeArrowheads="1"/>
                  </pic:cNvPicPr>
                </pic:nvPicPr>
                <pic:blipFill>
                  <a:blip r:embed="rId1"/>
                  <a:srcRect/>
                  <a:stretch>
                    <a:fillRect/>
                  </a:stretch>
                </pic:blipFill>
                <pic:spPr bwMode="auto">
                  <a:xfrm>
                    <a:off x="0" y="0"/>
                    <a:ext cx="695325" cy="32385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C1E6B"/>
    <w:multiLevelType w:val="hybridMultilevel"/>
    <w:tmpl w:val="08027D1E"/>
    <w:lvl w:ilvl="0" w:tplc="4B1A817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363E2A6B"/>
    <w:multiLevelType w:val="hybridMultilevel"/>
    <w:tmpl w:val="FCD07B80"/>
    <w:lvl w:ilvl="0" w:tplc="1FCC2AC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noPunctuationKerning/>
  <w:characterSpacingControl w:val="doNotCompress"/>
  <w:hdrShapeDefaults>
    <o:shapedefaults v:ext="edit" spidmax="9217"/>
  </w:hdrShapeDefaults>
  <w:footnotePr>
    <w:footnote w:id="-1"/>
    <w:footnote w:id="0"/>
  </w:footnotePr>
  <w:endnotePr>
    <w:endnote w:id="-1"/>
    <w:endnote w:id="0"/>
  </w:endnotePr>
  <w:compat/>
  <w:rsids>
    <w:rsidRoot w:val="0045047E"/>
    <w:rsid w:val="001755BD"/>
    <w:rsid w:val="00256F2D"/>
    <w:rsid w:val="00314FDC"/>
    <w:rsid w:val="00323893"/>
    <w:rsid w:val="003256DB"/>
    <w:rsid w:val="00354FEB"/>
    <w:rsid w:val="0045047E"/>
    <w:rsid w:val="004666F2"/>
    <w:rsid w:val="00474B67"/>
    <w:rsid w:val="005A4208"/>
    <w:rsid w:val="006412F3"/>
    <w:rsid w:val="00662A81"/>
    <w:rsid w:val="007C2D5F"/>
    <w:rsid w:val="008F0F5B"/>
    <w:rsid w:val="009862B7"/>
    <w:rsid w:val="009B67DD"/>
    <w:rsid w:val="00AD4DC8"/>
    <w:rsid w:val="00F3079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5BD"/>
  </w:style>
  <w:style w:type="paragraph" w:styleId="Titre1">
    <w:name w:val="heading 1"/>
    <w:basedOn w:val="Normal"/>
    <w:next w:val="Normal"/>
    <w:qFormat/>
    <w:rsid w:val="001755BD"/>
    <w:pPr>
      <w:keepNext/>
      <w:outlineLvl w:val="0"/>
    </w:pPr>
    <w:rPr>
      <w:bCs/>
      <w:i/>
      <w:iCs/>
      <w:sz w:val="24"/>
      <w:szCs w:val="24"/>
    </w:rPr>
  </w:style>
  <w:style w:type="paragraph" w:styleId="Titre3">
    <w:name w:val="heading 3"/>
    <w:basedOn w:val="Normal"/>
    <w:next w:val="Normal"/>
    <w:qFormat/>
    <w:rsid w:val="001755BD"/>
    <w:pPr>
      <w:keepNext/>
      <w:jc w:val="center"/>
      <w:outlineLvl w:val="2"/>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FICHEBlancEncadrementTraitspleinsdoublesAutomati">
    <w:name w:val="Style FICHE + Blanc Encadrement : (Traits pleins doubles Automati..."/>
    <w:basedOn w:val="Normal"/>
    <w:rsid w:val="001755BD"/>
    <w:pPr>
      <w:keepNext/>
      <w:pBdr>
        <w:top w:val="single" w:sz="4" w:space="1" w:color="auto"/>
        <w:left w:val="single" w:sz="4" w:space="4" w:color="auto"/>
        <w:bottom w:val="single" w:sz="4" w:space="1" w:color="auto"/>
        <w:right w:val="single" w:sz="4" w:space="4" w:color="auto"/>
      </w:pBdr>
      <w:shd w:val="clear" w:color="auto" w:fill="008C89"/>
      <w:jc w:val="center"/>
      <w:outlineLvl w:val="0"/>
    </w:pPr>
    <w:rPr>
      <w:b/>
      <w:bCs/>
      <w:caps/>
      <w:noProof/>
      <w:color w:val="FFFFFF"/>
      <w:kern w:val="28"/>
      <w:sz w:val="28"/>
    </w:rPr>
  </w:style>
  <w:style w:type="paragraph" w:styleId="En-tte">
    <w:name w:val="header"/>
    <w:basedOn w:val="Normal"/>
    <w:semiHidden/>
    <w:rsid w:val="001755BD"/>
    <w:pPr>
      <w:tabs>
        <w:tab w:val="center" w:pos="4536"/>
        <w:tab w:val="right" w:pos="9072"/>
      </w:tabs>
    </w:pPr>
  </w:style>
  <w:style w:type="paragraph" w:styleId="Pieddepage">
    <w:name w:val="footer"/>
    <w:basedOn w:val="Normal"/>
    <w:semiHidden/>
    <w:rsid w:val="001755BD"/>
    <w:pPr>
      <w:tabs>
        <w:tab w:val="center" w:pos="4536"/>
        <w:tab w:val="right" w:pos="9072"/>
      </w:tabs>
    </w:pPr>
  </w:style>
  <w:style w:type="character" w:styleId="Lienhypertexte">
    <w:name w:val="Hyperlink"/>
    <w:basedOn w:val="Policepardfaut"/>
    <w:semiHidden/>
    <w:rsid w:val="001755BD"/>
    <w:rPr>
      <w:color w:val="0000FF"/>
      <w:u w:val="single"/>
    </w:rPr>
  </w:style>
  <w:style w:type="paragraph" w:customStyle="1" w:styleId="spip">
    <w:name w:val="spip"/>
    <w:basedOn w:val="Normal"/>
    <w:rsid w:val="001755BD"/>
    <w:pPr>
      <w:spacing w:before="100" w:beforeAutospacing="1" w:after="100" w:afterAutospacing="1"/>
    </w:pPr>
    <w:rPr>
      <w:rFonts w:ascii="Arial Unicode MS" w:eastAsia="Arial Unicode MS" w:hAnsi="Arial Unicode MS" w:cs="Arial Unicode MS"/>
      <w:sz w:val="24"/>
      <w:szCs w:val="24"/>
    </w:rPr>
  </w:style>
  <w:style w:type="paragraph" w:styleId="Corpsdetexte">
    <w:name w:val="Body Text"/>
    <w:basedOn w:val="Normal"/>
    <w:semiHidden/>
    <w:rsid w:val="001755BD"/>
    <w:pPr>
      <w:autoSpaceDE w:val="0"/>
      <w:autoSpaceDN w:val="0"/>
      <w:adjustRightInd w:val="0"/>
    </w:pPr>
    <w:rPr>
      <w:rFonts w:ascii="Garamond" w:hAnsi="Garamond"/>
      <w:color w:val="000081"/>
      <w:sz w:val="22"/>
      <w:szCs w:val="24"/>
    </w:rPr>
  </w:style>
  <w:style w:type="paragraph" w:styleId="Corpsdetexte2">
    <w:name w:val="Body Text 2"/>
    <w:basedOn w:val="Normal"/>
    <w:semiHidden/>
    <w:rsid w:val="001755BD"/>
    <w:pPr>
      <w:autoSpaceDE w:val="0"/>
      <w:autoSpaceDN w:val="0"/>
      <w:adjustRightInd w:val="0"/>
    </w:pPr>
    <w:rPr>
      <w:rFonts w:ascii="Garamond" w:hAnsi="Garamond"/>
      <w:color w:val="00FF00"/>
      <w:sz w:val="22"/>
      <w:szCs w:val="24"/>
    </w:rPr>
  </w:style>
  <w:style w:type="paragraph" w:styleId="Corpsdetexte3">
    <w:name w:val="Body Text 3"/>
    <w:basedOn w:val="Normal"/>
    <w:semiHidden/>
    <w:rsid w:val="001755BD"/>
    <w:pPr>
      <w:jc w:val="both"/>
    </w:pPr>
    <w:rPr>
      <w:bCs/>
      <w:color w:val="FF0000"/>
      <w:sz w:val="22"/>
      <w:szCs w:val="24"/>
    </w:rPr>
  </w:style>
  <w:style w:type="character" w:styleId="Lienhypertextesuivivisit">
    <w:name w:val="FollowedHyperlink"/>
    <w:basedOn w:val="Policepardfaut"/>
    <w:semiHidden/>
    <w:unhideWhenUsed/>
    <w:rsid w:val="001755BD"/>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iv-montp3.fr" TargetMode="External"/><Relationship Id="rId3" Type="http://schemas.openxmlformats.org/officeDocument/2006/relationships/settings" Target="settings.xml"/><Relationship Id="rId7" Type="http://schemas.openxmlformats.org/officeDocument/2006/relationships/hyperlink" Target="http://www.univ-montp3.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1515</Words>
  <Characters>8872</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RESUME DESCRIPTIF DE LA CERTIFICATION</vt:lpstr>
    </vt:vector>
  </TitlesOfParts>
  <Company>MINTRAV</Company>
  <LinksUpToDate>false</LinksUpToDate>
  <CharactersWithSpaces>10367</CharactersWithSpaces>
  <SharedDoc>false</SharedDoc>
  <HLinks>
    <vt:vector size="12" baseType="variant">
      <vt:variant>
        <vt:i4>8061031</vt:i4>
      </vt:variant>
      <vt:variant>
        <vt:i4>3</vt:i4>
      </vt:variant>
      <vt:variant>
        <vt:i4>0</vt:i4>
      </vt:variant>
      <vt:variant>
        <vt:i4>5</vt:i4>
      </vt:variant>
      <vt:variant>
        <vt:lpwstr>http://www.univ-montp3.fr/</vt:lpwstr>
      </vt:variant>
      <vt:variant>
        <vt:lpwstr/>
      </vt:variant>
      <vt:variant>
        <vt:i4>8061031</vt:i4>
      </vt:variant>
      <vt:variant>
        <vt:i4>0</vt:i4>
      </vt:variant>
      <vt:variant>
        <vt:i4>0</vt:i4>
      </vt:variant>
      <vt:variant>
        <vt:i4>5</vt:i4>
      </vt:variant>
      <vt:variant>
        <vt:lpwstr>http://www.univ-montp3.fr/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 DESCRIPTIF DE LA CERTIFICATION</dc:title>
  <dc:creator>DAGEMO</dc:creator>
  <cp:lastModifiedBy>hmaronna</cp:lastModifiedBy>
  <cp:revision>6</cp:revision>
  <cp:lastPrinted>2008-10-27T12:16:00Z</cp:lastPrinted>
  <dcterms:created xsi:type="dcterms:W3CDTF">2010-03-16T09:58:00Z</dcterms:created>
  <dcterms:modified xsi:type="dcterms:W3CDTF">2010-05-06T07:56:00Z</dcterms:modified>
</cp:coreProperties>
</file>